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4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       </w:t>
      </w:r>
    </w:p>
    <w:p w14:paraId="776033E2">
      <w:pPr>
        <w:spacing w:beforeLines="50" w:afterLines="100" w:line="500" w:lineRule="exact"/>
        <w:jc w:val="center"/>
        <w:rPr>
          <w:rFonts w:hint="default" w:ascii="方正小标宋_GBK" w:hAnsi="方正小标宋_GBK" w:eastAsia="方正小标宋_GBK" w:cs="方正小标宋_GBK"/>
          <w:b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val="en-US" w:eastAsia="zh-CN"/>
        </w:rPr>
        <w:t>中山大学附属第一医院广西医院常年法律顾问服务评审办法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73"/>
        <w:gridCol w:w="1318"/>
        <w:gridCol w:w="5275"/>
      </w:tblGrid>
      <w:tr w14:paraId="22E20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0" w:type="auto"/>
            <w:noWrap w:val="0"/>
            <w:vAlign w:val="center"/>
          </w:tcPr>
          <w:p w14:paraId="37738E8B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66E3846B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评分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318" w:type="dxa"/>
            <w:noWrap w:val="0"/>
            <w:vAlign w:val="center"/>
          </w:tcPr>
          <w:p w14:paraId="08B57A33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评分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分值（满分）</w:t>
            </w:r>
          </w:p>
        </w:tc>
        <w:tc>
          <w:tcPr>
            <w:tcW w:w="5275" w:type="dxa"/>
            <w:noWrap w:val="0"/>
            <w:vAlign w:val="center"/>
          </w:tcPr>
          <w:p w14:paraId="6FBC10B0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评分标准</w:t>
            </w:r>
          </w:p>
        </w:tc>
      </w:tr>
      <w:tr w14:paraId="2383E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1FB211F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910E75A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价格分</w:t>
            </w:r>
          </w:p>
        </w:tc>
        <w:tc>
          <w:tcPr>
            <w:tcW w:w="1318" w:type="dxa"/>
            <w:noWrap w:val="0"/>
            <w:vAlign w:val="center"/>
          </w:tcPr>
          <w:p w14:paraId="245AD5AD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20分</w:t>
            </w:r>
          </w:p>
        </w:tc>
        <w:tc>
          <w:tcPr>
            <w:tcW w:w="5275" w:type="dxa"/>
            <w:noWrap w:val="0"/>
            <w:vAlign w:val="top"/>
          </w:tcPr>
          <w:p w14:paraId="00ADE8FE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常态性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法律服务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与所有医疗纠纷案件的诉讼代理费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按固定报价；</w:t>
            </w:r>
          </w:p>
          <w:p w14:paraId="0AB994C4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其他非医疗纠纷案件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诉讼代理服务按下浮率报价；</w:t>
            </w:r>
          </w:p>
          <w:p w14:paraId="25DDDFF4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3.某报价公司价格分=（1-最高下浮率）/（1-某公司投标下浮率）×（20*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0%）+（最低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常态性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法律服务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与所有医疗纠纷案件的诉讼代理费服务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报价/某公司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常态性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法律服务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与所有医疗纠纷案件的诉讼代理费服务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报价）*（20*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0%）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40D99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0" w:type="auto"/>
            <w:vMerge w:val="restart"/>
            <w:noWrap w:val="0"/>
            <w:vAlign w:val="center"/>
          </w:tcPr>
          <w:p w14:paraId="175BDD6C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DC6493D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律所基本</w:t>
            </w:r>
          </w:p>
          <w:p w14:paraId="498DD513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 w14:paraId="4D425C4B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275" w:type="dxa"/>
            <w:vMerge w:val="restart"/>
            <w:noWrap w:val="0"/>
            <w:vAlign w:val="top"/>
          </w:tcPr>
          <w:p w14:paraId="5584FAE6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1.成立时间：</w:t>
            </w:r>
          </w:p>
          <w:p w14:paraId="5FEB7C71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①成立≥10年得2分；</w:t>
            </w:r>
          </w:p>
          <w:p w14:paraId="059A3A86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②成立＜10年得1分；</w:t>
            </w:r>
          </w:p>
          <w:p w14:paraId="7CAF246F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执业律师数量（应提供在律协备案的人数及名单，否则不得分，实习律师不记在内）；</w:t>
            </w:r>
          </w:p>
          <w:p w14:paraId="6ABFE82E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①＞10人得2分；</w:t>
            </w:r>
          </w:p>
          <w:p w14:paraId="41A8C385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②≤10人得1分；</w:t>
            </w:r>
          </w:p>
          <w:p w14:paraId="00C439D6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3.有良好的社会信誉及诚信记录，与询价方无利害关系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，提供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社会信誉及诚信记录证明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文件，未提供的不得分，此项满分2分；</w:t>
            </w:r>
          </w:p>
        </w:tc>
      </w:tr>
      <w:tr w14:paraId="53F45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0" w:type="auto"/>
            <w:vMerge w:val="continue"/>
            <w:noWrap w:val="0"/>
            <w:vAlign w:val="center"/>
          </w:tcPr>
          <w:p w14:paraId="14FD5190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03C378A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0F444988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top"/>
          </w:tcPr>
          <w:p w14:paraId="211B3129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573E6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noWrap w:val="0"/>
            <w:vAlign w:val="center"/>
          </w:tcPr>
          <w:p w14:paraId="04206605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ADB4E1B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23A5F237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top"/>
          </w:tcPr>
          <w:p w14:paraId="7C192974">
            <w:pPr>
              <w:tabs>
                <w:tab w:val="left" w:pos="0"/>
              </w:tabs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509CE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0" w:type="auto"/>
            <w:vMerge w:val="restart"/>
            <w:noWrap w:val="0"/>
            <w:vAlign w:val="center"/>
          </w:tcPr>
          <w:p w14:paraId="1C5179B8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89C3B0D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律师服务团队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 w14:paraId="6E3AD4DC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275" w:type="dxa"/>
            <w:vMerge w:val="restart"/>
            <w:noWrap w:val="0"/>
            <w:vAlign w:val="center"/>
          </w:tcPr>
          <w:p w14:paraId="199D0E77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1.服务团队≥3人；提供团队成员近半年来连续3个月的社保缴纳证明文件，未提供的不得分；（此项1分）</w:t>
            </w:r>
          </w:p>
          <w:p w14:paraId="342AC367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2.服务团队中有责任律师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符合以下要求的：（此项满分2分，如同一人同时满足下述要求，可重复计分。）：</w:t>
            </w:r>
          </w:p>
          <w:p w14:paraId="484994C2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①每有1人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为5年以上执业律师的，得1分；</w:t>
            </w:r>
          </w:p>
          <w:p w14:paraId="530ADB2F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②每有1人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为合伙人或主任律师的，得1分；</w:t>
            </w:r>
          </w:p>
          <w:p w14:paraId="2A078454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注：</w:t>
            </w:r>
          </w:p>
          <w:p w14:paraId="5CB5D8E1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1）提供团队成员近半年来连续3个月的社保缴纳证明文件，未提供的不得分；</w:t>
            </w:r>
          </w:p>
          <w:p w14:paraId="5FC9A33C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2）附相关证明材料。</w:t>
            </w:r>
          </w:p>
        </w:tc>
      </w:tr>
      <w:tr w14:paraId="6D8F3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0" w:type="auto"/>
            <w:vMerge w:val="continue"/>
            <w:noWrap w:val="0"/>
            <w:vAlign w:val="center"/>
          </w:tcPr>
          <w:p w14:paraId="567A5B0F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25BCF75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0BDA1B61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7F9C6942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363C1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282FC12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057CA55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35795D4B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35E3FE4C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75BA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vMerge w:val="restart"/>
            <w:noWrap w:val="0"/>
            <w:vAlign w:val="center"/>
          </w:tcPr>
          <w:p w14:paraId="711F37F2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7878CD5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服务能力及业绩（医疗及劳务争议类、常年法律顾问常态性的服务）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 w14:paraId="3B532946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275" w:type="dxa"/>
            <w:vMerge w:val="restart"/>
            <w:noWrap w:val="0"/>
            <w:vAlign w:val="center"/>
          </w:tcPr>
          <w:p w14:paraId="6D5CAC88">
            <w:pPr>
              <w:numPr>
                <w:ilvl w:val="0"/>
                <w:numId w:val="0"/>
              </w:numPr>
              <w:tabs>
                <w:tab w:val="left" w:pos="35"/>
              </w:tabs>
              <w:spacing w:line="380" w:lineRule="exact"/>
              <w:ind w:leftChars="16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服务团队责任律师具有的专业背景及服务能力经验（此项满分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分）</w:t>
            </w:r>
          </w:p>
          <w:p w14:paraId="750D6C58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①服务团队责任律师为律协医疗卫生专业委员会委员的，每人0.5分，满分1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分；</w:t>
            </w:r>
          </w:p>
          <w:p w14:paraId="18C50215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②服务团队责任律师为律协劳动与社会保障法专业委员会委员的，每人0.5分，满分1分；</w:t>
            </w:r>
          </w:p>
          <w:p w14:paraId="138A58C2">
            <w:pPr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2.近三年服务团队律师（尤其是责任律师）代理或经办的医疗、劳动或劳务等纠纷案件概况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此项满分15分（需提供案件列表清单（格式自拟）和案件真实性承诺书，承诺“所列案件真实，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医院方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签认合同前有权要求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响应单位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提供案件判决书等证明材料进行核实，如无法证实其真实性，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医院方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有权拒绝签订合同，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响应单位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后果自负”），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清单及承诺书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二者缺一未提供不得分；</w:t>
            </w:r>
          </w:p>
          <w:p w14:paraId="720F8840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①医疗纠纷类：每个案例0.3分，满分9分；</w:t>
            </w:r>
          </w:p>
          <w:p w14:paraId="4C1799BF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②劳动或劳务纠纷类：每个案例0.2分，满分6分；</w:t>
            </w:r>
          </w:p>
          <w:p w14:paraId="5BD23359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3.近三年，服务团队成员中，每有1人为顾问单位审核合同量（本项最高5分）：＞1000份/年的，得5分，500-1000份/年的，得3分，＜500份/年的，得2分；</w:t>
            </w:r>
          </w:p>
          <w:p w14:paraId="6797C0C7">
            <w:pPr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4.近三年服务团队责任律师承担医疗单位的法律顾问的（每人每个单位计0.3分，需提供合同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协议、聘书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复印件加盖公章作为证明材料，此项满分6分）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6CE93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0" w:type="auto"/>
            <w:vMerge w:val="continue"/>
            <w:noWrap w:val="0"/>
            <w:vAlign w:val="center"/>
          </w:tcPr>
          <w:p w14:paraId="569D67BE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7695EF9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71D8561E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67459A09">
            <w:pPr>
              <w:numPr>
                <w:ilvl w:val="0"/>
                <w:numId w:val="1"/>
              </w:numPr>
              <w:tabs>
                <w:tab w:val="left" w:pos="35"/>
                <w:tab w:val="clear" w:pos="312"/>
              </w:tabs>
              <w:spacing w:line="380" w:lineRule="exact"/>
              <w:ind w:left="35" w:leftChars="16" w:hanging="1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0C014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0" w:type="auto"/>
            <w:vMerge w:val="continue"/>
            <w:noWrap w:val="0"/>
            <w:vAlign w:val="center"/>
          </w:tcPr>
          <w:p w14:paraId="7F1D89B4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A2C44ED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4CCD7D8D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541A168C">
            <w:pPr>
              <w:numPr>
                <w:ilvl w:val="0"/>
                <w:numId w:val="1"/>
              </w:numPr>
              <w:tabs>
                <w:tab w:val="left" w:pos="35"/>
                <w:tab w:val="clear" w:pos="312"/>
              </w:tabs>
              <w:spacing w:line="380" w:lineRule="exact"/>
              <w:ind w:left="35" w:leftChars="16" w:hanging="1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490B7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0" w:type="auto"/>
            <w:vMerge w:val="continue"/>
            <w:noWrap w:val="0"/>
            <w:vAlign w:val="center"/>
          </w:tcPr>
          <w:p w14:paraId="7BF84A7C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DC07C4C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6BEA501B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64F2A80F">
            <w:pPr>
              <w:numPr>
                <w:ilvl w:val="0"/>
                <w:numId w:val="1"/>
              </w:numPr>
              <w:tabs>
                <w:tab w:val="left" w:pos="35"/>
                <w:tab w:val="clear" w:pos="312"/>
              </w:tabs>
              <w:spacing w:line="380" w:lineRule="exact"/>
              <w:ind w:left="35" w:leftChars="16" w:hanging="1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4F4BA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253B958E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75C6C22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7DCFB9F0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6BDDF52A">
            <w:pPr>
              <w:numPr>
                <w:ilvl w:val="0"/>
                <w:numId w:val="1"/>
              </w:numPr>
              <w:tabs>
                <w:tab w:val="left" w:pos="35"/>
                <w:tab w:val="clear" w:pos="312"/>
              </w:tabs>
              <w:spacing w:line="380" w:lineRule="exact"/>
              <w:ind w:left="35" w:leftChars="16" w:hanging="1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3814F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noWrap w:val="0"/>
            <w:vAlign w:val="center"/>
          </w:tcPr>
          <w:p w14:paraId="7C47CC29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724C899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71DFD401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2CE73608">
            <w:pPr>
              <w:numPr>
                <w:ilvl w:val="0"/>
                <w:numId w:val="1"/>
              </w:numPr>
              <w:tabs>
                <w:tab w:val="left" w:pos="35"/>
                <w:tab w:val="clear" w:pos="312"/>
              </w:tabs>
              <w:spacing w:line="380" w:lineRule="exact"/>
              <w:ind w:left="35" w:leftChars="16" w:hanging="1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5BA46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0" w:type="auto"/>
            <w:vMerge w:val="restart"/>
            <w:noWrap w:val="0"/>
            <w:vAlign w:val="center"/>
          </w:tcPr>
          <w:p w14:paraId="26EAD683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79D2B81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服务能力及业绩（建设工程类）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 w14:paraId="2759727C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16.5分</w:t>
            </w:r>
          </w:p>
        </w:tc>
        <w:tc>
          <w:tcPr>
            <w:tcW w:w="5275" w:type="dxa"/>
            <w:vMerge w:val="restart"/>
            <w:noWrap w:val="0"/>
            <w:vAlign w:val="center"/>
          </w:tcPr>
          <w:p w14:paraId="7864F769">
            <w:pPr>
              <w:numPr>
                <w:ilvl w:val="0"/>
                <w:numId w:val="0"/>
              </w:numPr>
              <w:spacing w:line="380" w:lineRule="exact"/>
              <w:ind w:left="30" w:leftChars="0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服务团队责任律师为律协房地产与建筑工程专业委员会委员的，每人0.5分，此项满分1.5分；</w:t>
            </w:r>
          </w:p>
          <w:p w14:paraId="52658BCC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.近三年服务团队律师（尤其是责任律师）代理或经办的建设工程类纠纷案件概况，每个案例0.3分，此项满分9分（集体诉讼类案件按1个案例计算）；（需提供案件列表清单（格式自拟）和案件真实性承诺书，承诺“所列案件真实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医院方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签认合同前有权要求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响应单位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提供案件判决书等证明材料进行核实，如无法证实其真实性，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医院方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有权拒绝签订合同，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响应单位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后果自负”）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清单及承诺书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二者缺一未提供不得分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；</w:t>
            </w:r>
          </w:p>
          <w:p w14:paraId="0A0902E1">
            <w:pPr>
              <w:spacing w:line="380" w:lineRule="exact"/>
              <w:ind w:firstLine="31" w:firstLineChars="15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3.近三年服务团队责任律师承担建设工程相关单位的法律顾问经验（每个单位0.3分，需提供合同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协议、聘书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复印件加盖公章作为证明材料，此项满分6分）。</w:t>
            </w:r>
          </w:p>
        </w:tc>
      </w:tr>
      <w:tr w14:paraId="400B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0" w:type="auto"/>
            <w:vMerge w:val="continue"/>
            <w:noWrap w:val="0"/>
            <w:vAlign w:val="center"/>
          </w:tcPr>
          <w:p w14:paraId="13786074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C3A1B37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7BBF45ED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34BE98C3">
            <w:pPr>
              <w:numPr>
                <w:ilvl w:val="0"/>
                <w:numId w:val="2"/>
              </w:numPr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5D0EE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85559C7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F252AA0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327F6822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vMerge w:val="continue"/>
            <w:noWrap w:val="0"/>
            <w:vAlign w:val="center"/>
          </w:tcPr>
          <w:p w14:paraId="0D145ADA">
            <w:pPr>
              <w:numPr>
                <w:ilvl w:val="0"/>
                <w:numId w:val="2"/>
              </w:numPr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</w:tr>
      <w:tr w14:paraId="12707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noWrap w:val="0"/>
            <w:vAlign w:val="center"/>
          </w:tcPr>
          <w:p w14:paraId="00F5A4FC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26ECBFC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服务方案</w:t>
            </w:r>
          </w:p>
        </w:tc>
        <w:tc>
          <w:tcPr>
            <w:tcW w:w="1318" w:type="dxa"/>
            <w:noWrap w:val="0"/>
            <w:vAlign w:val="center"/>
          </w:tcPr>
          <w:p w14:paraId="57DB71FD">
            <w:pPr>
              <w:tabs>
                <w:tab w:val="left" w:pos="0"/>
              </w:tabs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26分</w:t>
            </w:r>
          </w:p>
        </w:tc>
        <w:tc>
          <w:tcPr>
            <w:tcW w:w="5275" w:type="dxa"/>
            <w:noWrap w:val="0"/>
            <w:vAlign w:val="top"/>
          </w:tcPr>
          <w:p w14:paraId="296C23B7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根据服务方案的完整性、可行性、适宜性，相比较打分，包括但不限于以下项目：</w:t>
            </w:r>
          </w:p>
          <w:p w14:paraId="5CDA68B6">
            <w:pPr>
              <w:widowControl/>
              <w:numPr>
                <w:ilvl w:val="0"/>
                <w:numId w:val="3"/>
              </w:num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工作总体思路以及保障措施；</w:t>
            </w:r>
          </w:p>
          <w:p w14:paraId="4A7C75B9">
            <w:pPr>
              <w:widowControl/>
              <w:numPr>
                <w:ilvl w:val="0"/>
                <w:numId w:val="3"/>
              </w:num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法律顾问服务流程；</w:t>
            </w:r>
          </w:p>
          <w:p w14:paraId="70F38266">
            <w:pPr>
              <w:widowControl/>
              <w:numPr>
                <w:ilvl w:val="0"/>
                <w:numId w:val="3"/>
              </w:num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综合团队服务能力、专人对接承诺及响应能力；</w:t>
            </w:r>
          </w:p>
          <w:p w14:paraId="4A2CD354">
            <w:pPr>
              <w:widowControl/>
              <w:numPr>
                <w:ilvl w:val="0"/>
                <w:numId w:val="3"/>
              </w:num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法律专项服务工作流程及期限承诺；</w:t>
            </w:r>
          </w:p>
          <w:p w14:paraId="025341EA">
            <w:pPr>
              <w:widowControl/>
              <w:numPr>
                <w:ilvl w:val="0"/>
                <w:numId w:val="3"/>
              </w:num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我司有利于本项目开展的社会资源概况简述。</w:t>
            </w:r>
          </w:p>
          <w:p w14:paraId="217FC470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此项满分26分，评分分为三档</w:t>
            </w:r>
          </w:p>
          <w:p w14:paraId="6D710426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一档（9分）评定范围为：方案基本符合项目要求，服务方案内容简单，综合评定一般；</w:t>
            </w:r>
          </w:p>
          <w:p w14:paraId="29BCE13B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二档（18分）评定范围为：方案大部分符合项目要求，服务方案内容较详细具体、应对机制较完善，内部防范和控制风险较好，可行性较高，综合评定良好；</w:t>
            </w:r>
          </w:p>
          <w:p w14:paraId="09A054E9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三档（26分）评定范围为：方案完全符合项目要求，服务方案详细具体、应对机制完善，分析全面并具有可操作性，内部防范和控制风险佳，且可行性高，综合评定优秀。</w:t>
            </w:r>
          </w:p>
        </w:tc>
      </w:tr>
    </w:tbl>
    <w:p w14:paraId="1F978595"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DCF1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B13914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ED7CE"/>
    <w:multiLevelType w:val="singleLevel"/>
    <w:tmpl w:val="9BDED7C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25F08E0"/>
    <w:multiLevelType w:val="singleLevel"/>
    <w:tmpl w:val="F25F08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5F03BE"/>
    <w:multiLevelType w:val="singleLevel"/>
    <w:tmpl w:val="6F5F03B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3EAF744D"/>
    <w:rsid w:val="00A15F6F"/>
    <w:rsid w:val="10311B9A"/>
    <w:rsid w:val="39915BC8"/>
    <w:rsid w:val="3EAF744D"/>
    <w:rsid w:val="478430E5"/>
    <w:rsid w:val="4C5C3A35"/>
    <w:rsid w:val="5AC1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1657</Words>
  <Characters>1734</Characters>
  <Lines>0</Lines>
  <Paragraphs>0</Paragraphs>
  <TotalTime>0</TotalTime>
  <ScaleCrop>false</ScaleCrop>
  <LinksUpToDate>false</LinksUpToDate>
  <CharactersWithSpaces>1742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2024-08-15T08:02:00Z</dcterms:created>
  <dc:creator>秋秋</dc:creator>
  <cp:lastModifiedBy>mild,m</cp:lastModifiedBy>
  <dcterms:modified xsi:type="dcterms:W3CDTF">2026-06-24T08:05:56Z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0C92A1B0591648869D6F92CFDD8753A8_13</vt:lpwstr>
  </property>
  <property fmtid="{D5CDD505-2E9C-101B-9397-08002B2CF9AE}" pid="4" name="KSOTemplateDocerSaveRecord">
    <vt:lpwstr>eyJoZGlkIjoiY2MwNmVjOTc2ZTkwMzdlZmI0NmNmYWM3MGVjZjQ2MjgiLCJ1c2VySWQiOiI2Njg4MzQyMTgifQ==</vt:lpwstr>
  </property>
</Properties>
</file>