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DC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中山大学附属第一医院广西医院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放射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个人剂量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采购需求</w:t>
      </w:r>
    </w:p>
    <w:p w14:paraId="37753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75D5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一、项目概况</w:t>
      </w:r>
    </w:p>
    <w:p w14:paraId="55D63C9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项目名称：放射工作人员个人剂量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监测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服务采购项目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B892FF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服务期限：2年（自合同签订之日起计算）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D80A2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计价方式：单价控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制价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25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元/次/人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实际监测剂量计数量据实结算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bookmarkStart w:id="0" w:name="_GoBack"/>
      <w:bookmarkEnd w:id="0"/>
    </w:p>
    <w:p w14:paraId="59F6679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服务对象：甲方全体在岗放射工作人员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8073F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二、服务内容与要求</w:t>
      </w:r>
    </w:p>
    <w:p w14:paraId="6C75C42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监测项目：职业外照射个人剂量监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测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Hp(10)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盖X、γ射线及常用医用辐射类型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DB6D1F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监测频次：每3个月1次常规监测，全年共4次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4E85F8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剂量计提供：乙方免费提供符合国家标准的热释光个人剂量计（含元件），统一编号、全程可追溯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3B4A3A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异常预警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：监测发现剂量异常/超标，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24小时内书面通知甲方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55AAD6C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报告交付：</w:t>
      </w:r>
    </w:p>
    <w:p w14:paraId="1E373DDC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周期报告：回收剂量计后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15个工作日内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出具电子版+纸质版监测报告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33C70A75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年度报告：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次年1月31日前提交上一年度全年累计受照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剂量统计分析报告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6113C234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符合卫健委、生态环境局监管要求，可直接归入职业健康档案与辐射安全管理档案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6DCF00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三、技术标准与政策依据</w:t>
      </w:r>
    </w:p>
    <w:p w14:paraId="0E0D814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严格执行以下现行有效标准：</w:t>
      </w:r>
    </w:p>
    <w:p w14:paraId="3A0B75F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《电离辐射防护与辐射源安全基本标准》（GB18871-2002）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DEB0607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《职业性外照射个人监测规范》（GBZ128-2019）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49D4224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《放射工作人员职业健康管理办法》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卫生部令第55号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）。</w:t>
      </w:r>
    </w:p>
    <w:p w14:paraId="6AC98BC5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国家及地方卫健委、生态环境局最新辐射安全管理规定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48270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四、服务质量保障</w:t>
      </w:r>
    </w:p>
    <w:p w14:paraId="2E86D784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资质要求：乙方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须具备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省级及以上监管部门认可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的放射个人剂量监测资质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3595874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能力验证：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乙方须按卫生健康行政部门监管要求，按时参加个人剂量监测相关能力验证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且结果合格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；若暂未取得能力验证合格证明的，可提供CMA检验检测资质（含个人剂量监测参数）、实验室仪器计量检定证书、ISO17025实验室认可等任意一项佐证其监测检测能力。</w:t>
      </w:r>
    </w:p>
    <w:p w14:paraId="5202CDB3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人员要求：项目负责人及技术人员应接受过放射防护及相关法规培训，具备相应专业能力，熟悉个人剂量监测操作规范。</w:t>
      </w:r>
    </w:p>
    <w:p w14:paraId="059CA3E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数据管理：建立电子台账，实现剂量计编号、佩戴人员、监测周期、结果全程可追溯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F771B3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质量控制：严格按标准规范开展监测，确保结果准确可靠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67F76AF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违约责任：乙方未按约定时限、标准提供监测服务或出具报告的，应及时整改、补做并承担相应责任；给甲方造成损失的，依法予以赔偿。</w:t>
      </w:r>
    </w:p>
    <w:p w14:paraId="60055A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五、流程与交接管理</w:t>
      </w:r>
    </w:p>
    <w:p w14:paraId="466EBAA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发放与回收：乙方按甲方人员名单按时送达新剂量计；甲方同步回收上周期剂量计并移交乙方，双方办理书面交接手续，明确数量、编号、时间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8FA4F9C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责任划分：因甲方原因（未按时交回、丢失、损坏）导致无法监测，乙方不承担责任；因乙方技术、设备、管理问题导致结果错误，乙方须免费重测并承担相应责任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7B64322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超标处置：结果超调查水平/限值时，立即启动预警，配合甲方完成调查、记录、上报流程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69100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六、甲方配合义务</w:t>
      </w:r>
    </w:p>
    <w:p w14:paraId="210F6702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提供准确的放射工作人员名单、岗位信息及人员变动情况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60540A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督促规范佩戴，严禁转借、篡改、损坏剂量计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0C0A28A0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按时回收交接，建立内部佩戴使用台账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730C52A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配合异常剂量调查与监管部门检查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4ACD54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七、验收与考核</w:t>
      </w:r>
    </w:p>
    <w:p w14:paraId="69DBA919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周期验收：每季度以报告完整性、准确性、及时性为验收依据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A0727C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年度考核：甲方每年对乙方的监测质量、报告及时性、异常响应、服务规范等进行综合评价；评价不合格的，甲方有权限期整改或单方终止合同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9639E21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终止条款：年度考核不合格或连续2次出现监测错误，甲方有权单方终止合同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54F77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八、其他要求</w:t>
      </w:r>
    </w:p>
    <w:p w14:paraId="138E21AF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乙方配合甲方开展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辐射安全许可证年检、放射卫生监督检查及个人剂量档案管理工作，提供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个人剂量监测报告、监测资质文件、年度能力验证合格证明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等与本项目监测服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务直接相关的材料，并按要求对监测数据与结果进行解释说明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57135C2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监测数据与报告仅限甲方使用，乙方负有保密义务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2A438D20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服务期内遇国家政策调整，按最新规定执行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47E85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745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8000C8"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383" w:right="1800" w:bottom="132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09C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C26A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C26A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7C012"/>
    <w:multiLevelType w:val="singleLevel"/>
    <w:tmpl w:val="8BC7C012"/>
    <w:lvl w:ilvl="0" w:tentative="0">
      <w:start w:val="1"/>
      <w:numFmt w:val="decimal"/>
      <w:suff w:val="nothing"/>
      <w:lvlText w:val="(%1)"/>
      <w:lvlJc w:val="left"/>
      <w:pPr>
        <w:ind w:left="425" w:hanging="425"/>
      </w:pPr>
      <w:rPr>
        <w:rFonts w:hint="default"/>
        <w:sz w:val="32"/>
        <w:szCs w:val="32"/>
      </w:rPr>
    </w:lvl>
  </w:abstractNum>
  <w:abstractNum w:abstractNumId="1">
    <w:nsid w:val="B2CFA1D5"/>
    <w:multiLevelType w:val="multilevel"/>
    <w:tmpl w:val="B2CFA1D5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EB3E1F3"/>
    <w:multiLevelType w:val="multilevel"/>
    <w:tmpl w:val="BEB3E1F3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EF89C8F"/>
    <w:multiLevelType w:val="multilevel"/>
    <w:tmpl w:val="BEF89C8F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06F19EBE"/>
    <w:multiLevelType w:val="multilevel"/>
    <w:tmpl w:val="06F19EBE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F08144E"/>
    <w:multiLevelType w:val="multilevel"/>
    <w:tmpl w:val="0F08144E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191448E5"/>
    <w:multiLevelType w:val="multilevel"/>
    <w:tmpl w:val="191448E5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59BE5A47"/>
    <w:multiLevelType w:val="multilevel"/>
    <w:tmpl w:val="59BE5A47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426CEA8"/>
    <w:multiLevelType w:val="multilevel"/>
    <w:tmpl w:val="6426CEA8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entative="0">
      <w:start w:val="1"/>
      <w:numFmt w:val="decimal"/>
      <w:suff w:val="nothing"/>
      <w:lvlText w:val="%2."/>
      <w:lvlJc w:val="left"/>
      <w:pPr>
        <w:ind w:left="1440" w:hanging="360"/>
      </w:pPr>
      <w:rPr>
        <w:rFonts w:hint="default"/>
        <w:sz w:val="32"/>
        <w:szCs w:val="32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YjBiNzVlYmFhNTY1MTA1Yzg3ZTE1YTk3Y2M1ODEifQ=="/>
  </w:docVars>
  <w:rsids>
    <w:rsidRoot w:val="2AE377E1"/>
    <w:rsid w:val="241E6A95"/>
    <w:rsid w:val="267107D4"/>
    <w:rsid w:val="297C1A83"/>
    <w:rsid w:val="2AE377E1"/>
    <w:rsid w:val="2D162C1B"/>
    <w:rsid w:val="327E5946"/>
    <w:rsid w:val="426B7EC5"/>
    <w:rsid w:val="48C84711"/>
    <w:rsid w:val="4AFD3FE5"/>
    <w:rsid w:val="5FF4186A"/>
    <w:rsid w:val="66F12B72"/>
    <w:rsid w:val="691E5792"/>
    <w:rsid w:val="71B122B9"/>
    <w:rsid w:val="7354611C"/>
    <w:rsid w:val="757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1372</Words>
  <Characters>1412</Characters>
  <Lines>0</Lines>
  <Paragraphs>0</Paragraphs>
  <TotalTime>6319</TotalTime>
  <ScaleCrop>false</ScaleCrop>
  <LinksUpToDate>false</LinksUpToDate>
  <CharactersWithSpaces>1412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2023-06-06T02:24:00Z</dcterms:created>
  <dc:creator>mild,m</dc:creator>
  <cp:lastModifiedBy>秋秋</cp:lastModifiedBy>
  <dcterms:modified xsi:type="dcterms:W3CDTF">2026-05-11T01:01:31Z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ED6DEDA23A7646169BB2AB3E8BEB9D70_13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