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867A1">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等线" w:hAnsi="等线" w:eastAsia="等线"/>
          <w:b/>
          <w:bCs/>
          <w:color w:val="000000"/>
          <w:sz w:val="32"/>
          <w:szCs w:val="32"/>
          <w:lang w:val="en-US" w:eastAsia="zh-CN"/>
        </w:rPr>
      </w:pPr>
      <w:r>
        <w:rPr>
          <w:rFonts w:hint="eastAsia" w:ascii="等线" w:hAnsi="等线" w:eastAsia="等线"/>
          <w:b/>
          <w:bCs/>
          <w:color w:val="000000"/>
          <w:sz w:val="32"/>
          <w:szCs w:val="32"/>
          <w:lang w:val="en-US" w:eastAsia="zh-CN"/>
        </w:rPr>
        <w:t>麻醉药物靶控输注（TCI）泵采购技术参数需求及商务要求</w:t>
      </w:r>
    </w:p>
    <w:p w14:paraId="1E381C4E">
      <w:pPr>
        <w:pStyle w:val="3"/>
        <w:keepNext w:val="0"/>
        <w:keepLines w:val="0"/>
        <w:widowControl/>
        <w:suppressLineNumbers w:val="0"/>
        <w:spacing w:before="60" w:beforeAutospacing="0" w:after="60" w:afterAutospacing="0" w:line="240" w:lineRule="auto"/>
        <w:ind w:left="0" w:right="0"/>
        <w:jc w:val="both"/>
        <w:rPr>
          <w:rFonts w:hint="default" w:ascii="宋体" w:hAnsi="宋体" w:eastAsia="宋体" w:cs="宋体"/>
          <w:sz w:val="20"/>
          <w:szCs w:val="20"/>
          <w:vertAlign w:val="baseline"/>
          <w:lang w:val="en-US" w:eastAsia="zh-CN"/>
        </w:rPr>
      </w:pPr>
      <w:r>
        <w:rPr>
          <w:rStyle w:val="6"/>
          <w:rFonts w:hint="eastAsia" w:ascii="宋体" w:hAnsi="宋体" w:eastAsia="宋体" w:cs="宋体"/>
          <w:sz w:val="22"/>
          <w:szCs w:val="22"/>
        </w:rPr>
        <w:t>一、</w:t>
      </w:r>
      <w:r>
        <w:rPr>
          <w:rStyle w:val="6"/>
          <w:rFonts w:hint="eastAsia" w:ascii="宋体" w:hAnsi="宋体" w:eastAsia="宋体" w:cs="宋体"/>
          <w:sz w:val="22"/>
          <w:szCs w:val="22"/>
          <w:lang w:val="en-US" w:eastAsia="zh-CN"/>
        </w:rPr>
        <w:t>技术参数需求</w:t>
      </w:r>
    </w:p>
    <w:p w14:paraId="2AAE76F8">
      <w:pPr>
        <w:pStyle w:val="3"/>
        <w:keepNext w:val="0"/>
        <w:keepLines w:val="0"/>
        <w:widowControl/>
        <w:suppressLineNumbers w:val="0"/>
        <w:spacing w:before="60" w:beforeAutospacing="0" w:after="60" w:afterAutospacing="0" w:line="240" w:lineRule="auto"/>
        <w:ind w:left="0" w:right="0"/>
        <w:jc w:val="both"/>
        <w:textAlignment w:val="baseline"/>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1.靶控注射功能：血浆靶控模式（可选择阶梯诱导），效应室靶控模式。内置多种靶控注射的药物如丙泊酚、咪唑安定、依托米脂、氯胺酮、维库溴铵、阿曲库铵、罗库溴铵；具有右美托咪定 Hannivoort 靶控模型；具有1-18岁儿童输注模型（Kataria，Paedfusor）</w:t>
      </w:r>
    </w:p>
    <w:p w14:paraId="73B2BEF9">
      <w:pPr>
        <w:pStyle w:val="3"/>
        <w:keepNext w:val="0"/>
        <w:keepLines w:val="0"/>
        <w:widowControl/>
        <w:suppressLineNumbers w:val="0"/>
        <w:spacing w:before="60" w:beforeAutospacing="0" w:after="60" w:afterAutospacing="0" w:line="240" w:lineRule="auto"/>
        <w:ind w:left="0" w:right="0"/>
        <w:jc w:val="both"/>
        <w:textAlignment w:val="baseline"/>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2.多个注射通道之间实现患者信息的实时共享。多个注射通道可通过单键操作同时开机，提升使用便捷性。</w:t>
      </w:r>
    </w:p>
    <w:p w14:paraId="53FF92DF">
      <w:pPr>
        <w:pStyle w:val="3"/>
        <w:keepNext w:val="0"/>
        <w:keepLines w:val="0"/>
        <w:widowControl/>
        <w:suppressLineNumbers w:val="0"/>
        <w:spacing w:before="60" w:beforeAutospacing="0" w:after="60" w:afterAutospacing="0" w:line="240" w:lineRule="auto"/>
        <w:ind w:left="0" w:right="0"/>
        <w:jc w:val="both"/>
        <w:textAlignment w:val="baseline"/>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3.微量注射功能：恒速注射、诱导维持、简易时量推注模式、间断给药功能。具有“OTCI”优化靶控输注功能。输注精度：机械精度误差需≤±0.5%，输注速度最大误差≤±3%。</w:t>
      </w:r>
    </w:p>
    <w:p w14:paraId="347DD14D">
      <w:pPr>
        <w:pStyle w:val="3"/>
        <w:keepNext w:val="0"/>
        <w:keepLines w:val="0"/>
        <w:widowControl/>
        <w:suppressLineNumbers w:val="0"/>
        <w:spacing w:before="60" w:beforeAutospacing="0" w:after="60" w:afterAutospacing="0" w:line="240" w:lineRule="auto"/>
        <w:ind w:left="0" w:right="0"/>
        <w:jc w:val="both"/>
        <w:textAlignment w:val="baseline"/>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4.丙泊酚具备Marsh， Schnider，Kataria，Paedfusor和Eleveld（适用于肥胖患者靶控注射）等靶控模型。</w:t>
      </w:r>
    </w:p>
    <w:p w14:paraId="7E06EDA0">
      <w:pPr>
        <w:pStyle w:val="3"/>
        <w:keepNext w:val="0"/>
        <w:keepLines w:val="0"/>
        <w:widowControl/>
        <w:suppressLineNumbers w:val="0"/>
        <w:spacing w:before="60" w:beforeAutospacing="0" w:after="60" w:afterAutospacing="0" w:line="240" w:lineRule="auto"/>
        <w:ind w:left="0" w:right="0"/>
        <w:jc w:val="both"/>
        <w:textAlignment w:val="baseline"/>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5.具有压力释放功能，减小阻塞发生后的丸剂量；有快速推注bolus功能</w:t>
      </w:r>
    </w:p>
    <w:p w14:paraId="25DF7BFB">
      <w:pPr>
        <w:pStyle w:val="3"/>
        <w:keepNext w:val="0"/>
        <w:keepLines w:val="0"/>
        <w:widowControl/>
        <w:suppressLineNumbers w:val="0"/>
        <w:spacing w:before="60" w:beforeAutospacing="0" w:after="60" w:afterAutospacing="0" w:line="240" w:lineRule="auto"/>
        <w:ind w:left="0" w:right="0"/>
        <w:jc w:val="both"/>
        <w:textAlignment w:val="baseline"/>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6.界面最好配有彩色显示屏和彩色靶浓度曲线图。</w:t>
      </w:r>
    </w:p>
    <w:p w14:paraId="5BD250AC">
      <w:pPr>
        <w:pStyle w:val="3"/>
        <w:keepNext w:val="0"/>
        <w:keepLines w:val="0"/>
        <w:widowControl/>
        <w:suppressLineNumbers w:val="0"/>
        <w:spacing w:before="60" w:beforeAutospacing="0" w:after="60" w:afterAutospacing="0" w:line="240" w:lineRule="auto"/>
        <w:ind w:left="0" w:right="0"/>
        <w:jc w:val="both"/>
        <w:textAlignment w:val="baseline"/>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7.可与麻醉信息系统连接，实现用药数据保存自动化、电子化；可按客户要求进行药库及模型的扩展。</w:t>
      </w:r>
    </w:p>
    <w:p w14:paraId="1C836CDF">
      <w:pPr>
        <w:pStyle w:val="3"/>
        <w:keepNext w:val="0"/>
        <w:keepLines w:val="0"/>
        <w:widowControl/>
        <w:suppressLineNumbers w:val="0"/>
        <w:spacing w:before="60" w:beforeAutospacing="0" w:after="60" w:afterAutospacing="0" w:line="240" w:lineRule="auto"/>
        <w:ind w:left="0" w:right="0"/>
        <w:jc w:val="both"/>
        <w:textAlignment w:val="baseline"/>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8.注射器推柄正确安装检测功能。</w:t>
      </w:r>
    </w:p>
    <w:p w14:paraId="34347F9D">
      <w:pPr>
        <w:pStyle w:val="3"/>
        <w:keepNext w:val="0"/>
        <w:keepLines w:val="0"/>
        <w:widowControl/>
        <w:suppressLineNumbers w:val="0"/>
        <w:spacing w:before="60" w:beforeAutospacing="0" w:after="60" w:afterAutospacing="0" w:line="240" w:lineRule="auto"/>
        <w:ind w:left="0" w:right="0"/>
        <w:jc w:val="both"/>
        <w:textAlignment w:val="baseline"/>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9.具有速度异常（快、慢、停）功能，推座异常报警功能，防止注射过程中出现过流、欠流；注射管路压力动态监测系统（DPS），实时监测注射管路内的压力。</w:t>
      </w:r>
    </w:p>
    <w:p w14:paraId="740E9B2F">
      <w:pPr>
        <w:pStyle w:val="3"/>
        <w:keepNext w:val="0"/>
        <w:keepLines w:val="0"/>
        <w:widowControl/>
        <w:suppressLineNumbers w:val="0"/>
        <w:spacing w:before="60" w:beforeAutospacing="0" w:after="60" w:afterAutospacing="0" w:line="240" w:lineRule="auto"/>
        <w:ind w:left="0" w:right="0"/>
        <w:jc w:val="both"/>
        <w:textAlignment w:val="baseline"/>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10.可根据药代动力学模型，通过药物半衰期，预测病人苏醒时间。</w:t>
      </w:r>
    </w:p>
    <w:p w14:paraId="64871D36">
      <w:pPr>
        <w:pStyle w:val="3"/>
        <w:keepNext w:val="0"/>
        <w:keepLines w:val="0"/>
        <w:widowControl/>
        <w:suppressLineNumbers w:val="0"/>
        <w:spacing w:before="60" w:beforeAutospacing="0" w:after="60" w:afterAutospacing="0" w:line="240" w:lineRule="auto"/>
        <w:ind w:left="0" w:right="0"/>
        <w:jc w:val="both"/>
        <w:textAlignment w:val="baseline"/>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11.历史数据存储及导出：可存储注射记录明细，且可根据客户需求进行扩展。数据直接通过机器内置的USB口将数据保存到U盘上或输出保存至电脑。</w:t>
      </w:r>
    </w:p>
    <w:p w14:paraId="02424DBB">
      <w:pPr>
        <w:pStyle w:val="3"/>
        <w:keepNext w:val="0"/>
        <w:keepLines w:val="0"/>
        <w:widowControl/>
        <w:suppressLineNumbers w:val="0"/>
        <w:spacing w:before="60" w:beforeAutospacing="0" w:after="60" w:afterAutospacing="0" w:line="240" w:lineRule="auto"/>
        <w:ind w:left="0" w:right="0"/>
        <w:jc w:val="both"/>
        <w:textAlignment w:val="baseline"/>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12.报警功能：交流掉电、电量将尽、电池电量不足、注射器脱落、注射器错误、注射器改变、药物将尽、药尽、推空、阻塞。</w:t>
      </w:r>
    </w:p>
    <w:p w14:paraId="482AF79E">
      <w:pPr>
        <w:pStyle w:val="3"/>
        <w:keepNext w:val="0"/>
        <w:keepLines w:val="0"/>
        <w:widowControl/>
        <w:suppressLineNumbers w:val="0"/>
        <w:spacing w:before="60" w:beforeAutospacing="0" w:after="60" w:afterAutospacing="0" w:line="240" w:lineRule="auto"/>
        <w:ind w:left="0" w:right="0"/>
        <w:jc w:val="both"/>
        <w:textAlignment w:val="baseline"/>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13.自检功能：能定期进行电机运行、注射精度及主板芯片等状况的自检，并将自检报告打印，作为设备运行状况的证明。</w:t>
      </w:r>
    </w:p>
    <w:p w14:paraId="384981E5">
      <w:pPr>
        <w:pStyle w:val="3"/>
        <w:keepNext w:val="0"/>
        <w:keepLines w:val="0"/>
        <w:widowControl/>
        <w:suppressLineNumbers w:val="0"/>
        <w:spacing w:before="60" w:beforeAutospacing="0" w:after="60" w:afterAutospacing="0" w:line="240" w:lineRule="auto"/>
        <w:ind w:left="0" w:right="0"/>
        <w:jc w:val="both"/>
        <w:textAlignment w:val="baseline"/>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14.可识别多种注射器规格：5ml、10ml、 20ml、30ml、 50ml注射器，支持多种注射器品牌；注射器自动较准识别功能（适用所有品牌注射器）</w:t>
      </w:r>
    </w:p>
    <w:p w14:paraId="2A58E9D9">
      <w:pPr>
        <w:pStyle w:val="3"/>
        <w:keepNext w:val="0"/>
        <w:keepLines w:val="0"/>
        <w:widowControl/>
        <w:suppressLineNumbers w:val="0"/>
        <w:spacing w:before="60" w:beforeAutospacing="0" w:after="60" w:afterAutospacing="0" w:line="240" w:lineRule="auto"/>
        <w:ind w:left="0" w:right="0"/>
        <w:jc w:val="both"/>
        <w:textAlignment w:val="baseline"/>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15.安全与续航：具有电池容量显示，电池需支持≥2小时转运续航。</w:t>
      </w:r>
    </w:p>
    <w:p w14:paraId="5F72EA7D">
      <w:pPr>
        <w:pStyle w:val="3"/>
        <w:keepNext w:val="0"/>
        <w:keepLines w:val="0"/>
        <w:widowControl/>
        <w:suppressLineNumbers w:val="0"/>
        <w:spacing w:before="60" w:beforeAutospacing="0" w:after="60" w:afterAutospacing="0" w:line="240" w:lineRule="auto"/>
        <w:ind w:left="0" w:right="0"/>
        <w:jc w:val="both"/>
        <w:textAlignment w:val="baseline"/>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16.要求具有三类证，满足国家卫健委、国家药品监督管理局法规要求。</w:t>
      </w:r>
    </w:p>
    <w:p w14:paraId="073A52B7">
      <w:pPr>
        <w:pStyle w:val="3"/>
        <w:keepNext w:val="0"/>
        <w:keepLines w:val="0"/>
        <w:widowControl/>
        <w:suppressLineNumbers w:val="0"/>
        <w:spacing w:before="60" w:beforeAutospacing="0" w:after="60" w:afterAutospacing="0" w:line="240" w:lineRule="auto"/>
        <w:ind w:left="0" w:right="0"/>
        <w:jc w:val="both"/>
        <w:rPr>
          <w:rStyle w:val="6"/>
          <w:rFonts w:hint="default" w:ascii="宋体" w:hAnsi="宋体" w:eastAsia="宋体" w:cs="宋体"/>
          <w:sz w:val="22"/>
          <w:szCs w:val="22"/>
          <w:lang w:val="en-US" w:eastAsia="zh-CN"/>
        </w:rPr>
      </w:pPr>
      <w:r>
        <w:rPr>
          <w:rStyle w:val="6"/>
          <w:rFonts w:hint="eastAsia" w:ascii="宋体" w:hAnsi="宋体" w:eastAsia="宋体" w:cs="宋体"/>
          <w:sz w:val="22"/>
          <w:szCs w:val="22"/>
          <w:lang w:val="en-US" w:eastAsia="zh-CN"/>
        </w:rPr>
        <w:t>二、商务要求</w:t>
      </w:r>
    </w:p>
    <w:p w14:paraId="45DA0B41">
      <w:pPr>
        <w:keepNext w:val="0"/>
        <w:keepLines w:val="0"/>
        <w:pageBreakBefore w:val="0"/>
        <w:widowControl w:val="0"/>
        <w:numPr>
          <w:ilvl w:val="0"/>
          <w:numId w:val="1"/>
        </w:numPr>
        <w:kinsoku/>
        <w:wordWrap/>
        <w:overflowPunct/>
        <w:topLinePunct w:val="0"/>
        <w:autoSpaceDE/>
        <w:autoSpaceDN/>
        <w:bidi w:val="0"/>
        <w:adjustRightInd/>
        <w:snapToGrid/>
        <w:spacing w:before="60" w:after="60" w:line="240" w:lineRule="auto"/>
        <w:ind w:left="0" w:leftChars="0" w:firstLine="0" w:firstLineChars="0"/>
        <w:textAlignment w:val="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本项</w:t>
      </w:r>
      <w:r>
        <w:rPr>
          <w:rFonts w:hint="eastAsia"/>
          <w:sz w:val="20"/>
          <w:szCs w:val="22"/>
        </w:rPr>
        <w:t>目预算金额为</w:t>
      </w:r>
      <w:r>
        <w:rPr>
          <w:rFonts w:hint="eastAsia" w:ascii="宋体" w:hAnsi="宋体" w:eastAsia="宋体" w:cs="宋体"/>
          <w:kern w:val="0"/>
          <w:sz w:val="20"/>
          <w:szCs w:val="20"/>
          <w:vertAlign w:val="baseline"/>
          <w:lang w:val="en-US" w:eastAsia="zh-CN" w:bidi="ar"/>
        </w:rPr>
        <w:t>15万元（3万元/套），最高限价15万元（3万元/套</w:t>
      </w:r>
      <w:bookmarkStart w:id="0" w:name="_GoBack"/>
      <w:bookmarkEnd w:id="0"/>
      <w:r>
        <w:rPr>
          <w:rFonts w:hint="eastAsia" w:ascii="宋体" w:hAnsi="宋体" w:eastAsia="宋体" w:cs="宋体"/>
          <w:kern w:val="0"/>
          <w:sz w:val="20"/>
          <w:szCs w:val="20"/>
          <w:vertAlign w:val="baseline"/>
          <w:lang w:val="en-US" w:eastAsia="zh-CN" w:bidi="ar"/>
        </w:rPr>
        <w:t>），报价不得超出最高限价，否则报价无效。</w:t>
      </w:r>
    </w:p>
    <w:p w14:paraId="1314A189">
      <w:pPr>
        <w:keepNext w:val="0"/>
        <w:keepLines w:val="0"/>
        <w:pageBreakBefore w:val="0"/>
        <w:widowControl w:val="0"/>
        <w:numPr>
          <w:ilvl w:val="0"/>
          <w:numId w:val="1"/>
        </w:numPr>
        <w:kinsoku/>
        <w:wordWrap/>
        <w:overflowPunct/>
        <w:topLinePunct w:val="0"/>
        <w:autoSpaceDE/>
        <w:autoSpaceDN/>
        <w:bidi w:val="0"/>
        <w:adjustRightInd/>
        <w:snapToGrid/>
        <w:spacing w:before="60" w:after="60" w:line="240" w:lineRule="auto"/>
        <w:ind w:left="0" w:leftChars="0" w:firstLine="0" w:firstLineChars="0"/>
        <w:textAlignment w:val="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所有参数需进行对应响应，提供需求参数偏离表，缺漏、不提供则认定为响应无效。</w:t>
      </w:r>
    </w:p>
    <w:p w14:paraId="1C526A12">
      <w:pPr>
        <w:keepNext w:val="0"/>
        <w:keepLines w:val="0"/>
        <w:pageBreakBefore w:val="0"/>
        <w:widowControl w:val="0"/>
        <w:numPr>
          <w:ilvl w:val="0"/>
          <w:numId w:val="1"/>
        </w:numPr>
        <w:kinsoku/>
        <w:wordWrap/>
        <w:overflowPunct/>
        <w:topLinePunct w:val="0"/>
        <w:autoSpaceDE/>
        <w:autoSpaceDN/>
        <w:bidi w:val="0"/>
        <w:adjustRightInd/>
        <w:snapToGrid/>
        <w:spacing w:before="60" w:after="60" w:line="240" w:lineRule="auto"/>
        <w:ind w:left="0" w:leftChars="0" w:firstLine="0" w:firstLineChars="0"/>
        <w:textAlignment w:val="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响应产品须列明品牌、生产厂家、型号。</w:t>
      </w:r>
    </w:p>
    <w:p w14:paraId="67F56674">
      <w:pPr>
        <w:keepNext w:val="0"/>
        <w:keepLines w:val="0"/>
        <w:pageBreakBefore w:val="0"/>
        <w:widowControl w:val="0"/>
        <w:numPr>
          <w:ilvl w:val="0"/>
          <w:numId w:val="1"/>
        </w:numPr>
        <w:kinsoku/>
        <w:wordWrap/>
        <w:overflowPunct/>
        <w:topLinePunct w:val="0"/>
        <w:autoSpaceDE/>
        <w:autoSpaceDN/>
        <w:bidi w:val="0"/>
        <w:adjustRightInd/>
        <w:snapToGrid/>
        <w:spacing w:before="60" w:after="60" w:line="240" w:lineRule="auto"/>
        <w:ind w:left="0" w:leftChars="0" w:firstLine="0" w:firstLineChars="0"/>
        <w:textAlignment w:val="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成交供应商需缴纳履约保证金（按成交金额的按5%缴纳，中小微企业按成交金额的按2%缴纳（需提供中小微企业证明）），在承诺的质保期期满后无息退还给成交供应商。</w:t>
      </w:r>
    </w:p>
    <w:p w14:paraId="2A43B321">
      <w:pPr>
        <w:keepNext w:val="0"/>
        <w:keepLines w:val="0"/>
        <w:pageBreakBefore w:val="0"/>
        <w:widowControl w:val="0"/>
        <w:numPr>
          <w:ilvl w:val="0"/>
          <w:numId w:val="1"/>
        </w:numPr>
        <w:kinsoku/>
        <w:wordWrap/>
        <w:overflowPunct/>
        <w:topLinePunct w:val="0"/>
        <w:autoSpaceDE/>
        <w:autoSpaceDN/>
        <w:bidi w:val="0"/>
        <w:adjustRightInd/>
        <w:snapToGrid/>
        <w:spacing w:before="60" w:after="60" w:line="240" w:lineRule="auto"/>
        <w:ind w:left="0" w:leftChars="0" w:firstLine="0" w:firstLineChars="0"/>
        <w:textAlignment w:val="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报价包括各种税金、运输费、搬运费（运至院方指定的楼层和科室）、材料费、人工费、调试安装费等一切费用。</w:t>
      </w:r>
    </w:p>
    <w:p w14:paraId="5F78C16D">
      <w:pPr>
        <w:keepNext w:val="0"/>
        <w:keepLines w:val="0"/>
        <w:pageBreakBefore w:val="0"/>
        <w:widowControl w:val="0"/>
        <w:numPr>
          <w:ilvl w:val="0"/>
          <w:numId w:val="1"/>
        </w:numPr>
        <w:kinsoku/>
        <w:wordWrap/>
        <w:overflowPunct/>
        <w:topLinePunct w:val="0"/>
        <w:autoSpaceDE/>
        <w:autoSpaceDN/>
        <w:bidi w:val="0"/>
        <w:adjustRightInd/>
        <w:snapToGrid/>
        <w:spacing w:before="60" w:after="60" w:line="240" w:lineRule="auto"/>
        <w:ind w:left="0" w:leftChars="0" w:firstLine="0" w:firstLineChars="0"/>
        <w:textAlignment w:val="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成交供应商保证向采购人提供的货物是全新、完整、未使用过的，说明书和合格证等相关证书必须完整，产品的品牌型号需按成交供应商承诺的执行，成交供应商若提供的产品不符合参数要求、品牌型号不一致、相关证书缺失或有质量问题，采购人有权拒收并有权要求供应商更换，产生的费用由成交人承担。</w:t>
      </w:r>
    </w:p>
    <w:p w14:paraId="22412680">
      <w:pPr>
        <w:keepNext w:val="0"/>
        <w:keepLines w:val="0"/>
        <w:pageBreakBefore w:val="0"/>
        <w:widowControl w:val="0"/>
        <w:numPr>
          <w:ilvl w:val="0"/>
          <w:numId w:val="1"/>
        </w:numPr>
        <w:kinsoku/>
        <w:wordWrap/>
        <w:overflowPunct/>
        <w:topLinePunct w:val="0"/>
        <w:autoSpaceDE/>
        <w:autoSpaceDN/>
        <w:bidi w:val="0"/>
        <w:adjustRightInd/>
        <w:snapToGrid/>
        <w:spacing w:before="60" w:after="60" w:line="240" w:lineRule="auto"/>
        <w:ind w:left="0" w:leftChars="0" w:firstLine="0" w:firstLineChars="0"/>
        <w:textAlignment w:val="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 xml:space="preserve">按国家有关产品“三包”规定执行“三包”，除特别说明外，质保期不得少于3年，自产品验收合格并能正常使用之日算起。如响应文件中提供产品生产厂家对质保期的承诺，与供应商承诺不一致的，以生产厂家承诺为准。 </w:t>
      </w:r>
    </w:p>
    <w:p w14:paraId="661D7336">
      <w:pPr>
        <w:keepNext w:val="0"/>
        <w:keepLines w:val="0"/>
        <w:pageBreakBefore w:val="0"/>
        <w:widowControl w:val="0"/>
        <w:numPr>
          <w:ilvl w:val="0"/>
          <w:numId w:val="1"/>
        </w:numPr>
        <w:kinsoku/>
        <w:wordWrap/>
        <w:overflowPunct/>
        <w:topLinePunct w:val="0"/>
        <w:autoSpaceDE/>
        <w:autoSpaceDN/>
        <w:bidi w:val="0"/>
        <w:adjustRightInd/>
        <w:snapToGrid/>
        <w:spacing w:before="60" w:after="60" w:line="240" w:lineRule="auto"/>
        <w:ind w:left="0" w:leftChars="0" w:firstLine="0" w:firstLineChars="0"/>
        <w:textAlignment w:val="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售后服务：成交供应商提供7*24小时售后服务，质保期内产品出现故障，在接到电话通知后，2小时内做出响应（远程解决或做出预备维护动作），24小时内到达维修现场。一般问题应在24小时内解决，否则须在采购人允许的迅速解决的问题的期限（即接到采购人通知后的24小时内）后二个工作日内提供与原产品技术参数要求相同或高于原产品技术参数要求的备用产品，以保证采购人的正常工作。重大问题或其它无法迅速解决的问题应在五个工作日内解决，供应商在接到采购人通知后拒不响应或解决故障的，采购人有权聘请第三方进行维修，由此产生的费用由供应商承担。</w:t>
      </w:r>
    </w:p>
    <w:p w14:paraId="2EC881AE">
      <w:pPr>
        <w:pStyle w:val="3"/>
        <w:keepNext w:val="0"/>
        <w:keepLines w:val="0"/>
        <w:widowControl/>
        <w:suppressLineNumbers w:val="0"/>
        <w:spacing w:before="60" w:beforeAutospacing="0" w:after="60" w:afterAutospacing="0" w:line="240" w:lineRule="auto"/>
        <w:ind w:left="0" w:right="0"/>
        <w:jc w:val="both"/>
        <w:textAlignment w:val="baseline"/>
        <w:rPr>
          <w:rFonts w:hint="eastAsia" w:ascii="宋体" w:hAnsi="宋体" w:eastAsia="宋体" w:cs="宋体"/>
          <w:sz w:val="20"/>
          <w:szCs w:val="20"/>
          <w:vertAlign w:val="baseline"/>
          <w:lang w:val="en-US" w:eastAsia="zh-CN"/>
        </w:rPr>
      </w:pPr>
    </w:p>
    <w:p w14:paraId="6D5A921E">
      <w:pPr>
        <w:pStyle w:val="3"/>
        <w:keepNext w:val="0"/>
        <w:keepLines w:val="0"/>
        <w:widowControl/>
        <w:suppressLineNumbers w:val="0"/>
        <w:spacing w:before="60" w:beforeAutospacing="0" w:after="60" w:afterAutospacing="0" w:line="240" w:lineRule="auto"/>
        <w:ind w:left="0" w:right="0"/>
        <w:jc w:val="both"/>
        <w:textAlignment w:val="baseline"/>
        <w:rPr>
          <w:rFonts w:hint="eastAsia" w:ascii="宋体" w:hAnsi="宋体" w:eastAsia="宋体" w:cs="宋体"/>
          <w:sz w:val="20"/>
          <w:szCs w:val="20"/>
          <w:vertAlign w:val="baseli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DC4872"/>
    <w:multiLevelType w:val="singleLevel"/>
    <w:tmpl w:val="56DC4872"/>
    <w:lvl w:ilvl="0" w:tentative="0">
      <w:start w:val="1"/>
      <w:numFmt w:val="decimal"/>
      <w:suff w:val="nothing"/>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7B2760"/>
    <w:rsid w:val="0B63493C"/>
    <w:rsid w:val="0EF11DF8"/>
    <w:rsid w:val="2D2D13AA"/>
    <w:rsid w:val="375142E3"/>
    <w:rsid w:val="5B7B27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1523</Words>
  <Characters>1644</Characters>
  <Lines>0</Lines>
  <Paragraphs>0</Paragraphs>
  <TotalTime>0</TotalTime>
  <ScaleCrop>false</ScaleCrop>
  <LinksUpToDate>false</LinksUpToDate>
  <CharactersWithSpaces>1650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2026-09-07T02:32:00Z</dcterms:created>
  <dc:creator>秋秋</dc:creator>
  <cp:lastModifiedBy>秋秋</cp:lastModifiedBy>
  <dcterms:modified xsi:type="dcterms:W3CDTF">2026-10-08T02:59:51Z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11E8742FBB9E4405A581920F9D47A4E3_11</vt:lpwstr>
  </property>
  <property fmtid="{D5CDD505-2E9C-101B-9397-08002B2CF9AE}" pid="4" name="KSOTemplateDocerSaveRecord">
    <vt:lpwstr>eyJoZGlkIjoiY2Q2MjU2MzMxMTIyNzIyYTQyZjg1OTZhMmRkYzhlY2QiLCJ1c2VySWQiOiI0MTcxNjY3MTMifQ==</vt:lpwstr>
  </property>
</Properties>
</file>