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9C2144">
      <w:pPr>
        <w:jc w:val="center"/>
        <w:rPr>
          <w:rFonts w:hint="eastAsia"/>
          <w:b/>
          <w:bCs/>
          <w:sz w:val="32"/>
          <w:szCs w:val="40"/>
          <w:lang w:val="en-US" w:eastAsia="zh-CN"/>
        </w:rPr>
      </w:pPr>
      <w:bookmarkStart w:id="3" w:name="_GoBack"/>
      <w:bookmarkEnd w:id="3"/>
      <w:r>
        <w:rPr>
          <w:rFonts w:hint="eastAsia"/>
          <w:b/>
          <w:bCs/>
          <w:sz w:val="32"/>
          <w:szCs w:val="40"/>
          <w:lang w:val="en-US" w:eastAsia="zh-CN"/>
        </w:rPr>
        <w:t>云灾备租用服务参数</w:t>
      </w:r>
    </w:p>
    <w:p w14:paraId="593DE0D6">
      <w:pPr>
        <w:numPr>
          <w:ilvl w:val="-1"/>
          <w:numId w:val="0"/>
        </w:numPr>
        <w:adjustRightInd w:val="0"/>
        <w:snapToGrid w:val="0"/>
        <w:spacing w:line="520" w:lineRule="exact"/>
        <w:ind w:leftChars="200" w:firstLine="0" w:firstLineChars="0"/>
        <w:rPr>
          <w:rFonts w:hint="eastAsia" w:ascii="宋体" w:hAnsi="宋体" w:eastAsia="仿宋_GB2312" w:cs="宋体"/>
          <w:b/>
          <w:bCs/>
          <w:color w:val="000000"/>
          <w:spacing w:val="-6"/>
          <w:sz w:val="24"/>
          <w:szCs w:val="32"/>
        </w:rPr>
      </w:pPr>
    </w:p>
    <w:p w14:paraId="55DBBBC7">
      <w:pPr>
        <w:numPr>
          <w:ilvl w:val="0"/>
          <w:numId w:val="1"/>
        </w:numPr>
        <w:adjustRightInd w:val="0"/>
        <w:snapToGrid w:val="0"/>
        <w:spacing w:line="520" w:lineRule="exact"/>
        <w:ind w:firstLine="458" w:firstLineChars="200"/>
        <w:rPr>
          <w:rFonts w:hint="eastAsia" w:ascii="宋体" w:hAnsi="宋体" w:eastAsia="仿宋_GB2312" w:cs="宋体"/>
          <w:b/>
          <w:bCs/>
          <w:color w:val="000000"/>
          <w:spacing w:val="-6"/>
          <w:sz w:val="24"/>
          <w:szCs w:val="32"/>
        </w:rPr>
      </w:pPr>
      <w:r>
        <w:rPr>
          <w:rFonts w:hint="eastAsia" w:ascii="宋体" w:hAnsi="宋体" w:eastAsia="仿宋_GB2312" w:cs="宋体"/>
          <w:b/>
          <w:bCs/>
          <w:color w:val="000000"/>
          <w:spacing w:val="-6"/>
          <w:sz w:val="24"/>
          <w:szCs w:val="32"/>
        </w:rPr>
        <w:t>项目概况</w:t>
      </w:r>
    </w:p>
    <w:p w14:paraId="385587B5">
      <w:pPr>
        <w:numPr>
          <w:ilvl w:val="0"/>
          <w:numId w:val="0"/>
        </w:numPr>
        <w:adjustRightInd w:val="0"/>
        <w:snapToGrid w:val="0"/>
        <w:spacing w:line="520" w:lineRule="exact"/>
        <w:ind w:left="420" w:leftChars="200" w:firstLine="0" w:firstLineChars="0"/>
        <w:rPr>
          <w:rFonts w:hint="eastAsia" w:ascii="宋体" w:hAnsi="宋体" w:eastAsia="仿宋_GB2312" w:cs="宋体"/>
          <w:color w:val="000000"/>
          <w:spacing w:val="-6"/>
          <w:sz w:val="24"/>
          <w:szCs w:val="32"/>
        </w:rPr>
      </w:pPr>
      <w:r>
        <w:rPr>
          <w:rFonts w:hint="eastAsia" w:ascii="宋体" w:hAnsi="宋体" w:eastAsia="仿宋_GB2312" w:cs="宋体"/>
          <w:color w:val="000000"/>
          <w:spacing w:val="-6"/>
          <w:sz w:val="24"/>
          <w:szCs w:val="32"/>
          <w:lang w:eastAsia="zh-CN"/>
        </w:rPr>
        <w:t>（</w:t>
      </w:r>
      <w:r>
        <w:rPr>
          <w:rFonts w:hint="eastAsia" w:ascii="宋体" w:hAnsi="宋体" w:eastAsia="仿宋_GB2312" w:cs="宋体"/>
          <w:color w:val="000000"/>
          <w:spacing w:val="-6"/>
          <w:sz w:val="24"/>
          <w:szCs w:val="32"/>
          <w:lang w:val="en-US" w:eastAsia="zh-CN"/>
        </w:rPr>
        <w:t>一</w:t>
      </w:r>
      <w:r>
        <w:rPr>
          <w:rFonts w:hint="eastAsia" w:ascii="宋体" w:hAnsi="宋体" w:eastAsia="仿宋_GB2312" w:cs="宋体"/>
          <w:color w:val="000000"/>
          <w:spacing w:val="-6"/>
          <w:sz w:val="24"/>
          <w:szCs w:val="32"/>
          <w:lang w:eastAsia="zh-CN"/>
        </w:rPr>
        <w:t>）</w:t>
      </w:r>
      <w:r>
        <w:rPr>
          <w:rFonts w:hint="eastAsia" w:ascii="宋体" w:hAnsi="宋体" w:eastAsia="仿宋_GB2312" w:cs="宋体"/>
          <w:color w:val="000000"/>
          <w:spacing w:val="-6"/>
          <w:sz w:val="24"/>
          <w:szCs w:val="32"/>
        </w:rPr>
        <w:t>采购单位：</w:t>
      </w:r>
      <w:bookmarkStart w:id="0" w:name="OLE_LINK21"/>
      <w:r>
        <w:rPr>
          <w:rFonts w:hint="eastAsia" w:ascii="宋体" w:hAnsi="宋体" w:eastAsia="仿宋_GB2312" w:cs="宋体"/>
          <w:color w:val="000000"/>
          <w:spacing w:val="-6"/>
          <w:sz w:val="24"/>
          <w:szCs w:val="32"/>
        </w:rPr>
        <w:t>中山大学附属第一医院广西医院</w:t>
      </w:r>
      <w:bookmarkEnd w:id="0"/>
    </w:p>
    <w:p w14:paraId="04415C9F">
      <w:pPr>
        <w:numPr>
          <w:ilvl w:val="0"/>
          <w:numId w:val="0"/>
        </w:numPr>
        <w:adjustRightInd w:val="0"/>
        <w:snapToGrid w:val="0"/>
        <w:spacing w:line="520" w:lineRule="exact"/>
        <w:ind w:left="420" w:leftChars="200" w:firstLine="0" w:firstLineChars="0"/>
        <w:rPr>
          <w:rFonts w:hint="eastAsia" w:ascii="宋体" w:hAnsi="宋体" w:eastAsia="仿宋_GB2312" w:cs="宋体"/>
          <w:color w:val="000000"/>
          <w:spacing w:val="-6"/>
          <w:sz w:val="24"/>
          <w:szCs w:val="32"/>
        </w:rPr>
      </w:pPr>
      <w:r>
        <w:rPr>
          <w:rFonts w:hint="eastAsia" w:ascii="宋体" w:hAnsi="宋体" w:eastAsia="仿宋_GB2312" w:cs="宋体"/>
          <w:color w:val="000000"/>
          <w:spacing w:val="-6"/>
          <w:sz w:val="24"/>
          <w:szCs w:val="32"/>
          <w:lang w:eastAsia="zh-CN"/>
        </w:rPr>
        <w:t>（</w:t>
      </w:r>
      <w:r>
        <w:rPr>
          <w:rFonts w:hint="eastAsia" w:ascii="宋体" w:hAnsi="宋体" w:eastAsia="仿宋_GB2312" w:cs="宋体"/>
          <w:color w:val="000000"/>
          <w:spacing w:val="-6"/>
          <w:sz w:val="24"/>
          <w:szCs w:val="32"/>
          <w:lang w:val="en-US" w:eastAsia="zh-CN"/>
        </w:rPr>
        <w:t>二</w:t>
      </w:r>
      <w:r>
        <w:rPr>
          <w:rFonts w:hint="eastAsia" w:ascii="宋体" w:hAnsi="宋体" w:eastAsia="仿宋_GB2312" w:cs="宋体"/>
          <w:color w:val="000000"/>
          <w:spacing w:val="-6"/>
          <w:sz w:val="24"/>
          <w:szCs w:val="32"/>
          <w:lang w:eastAsia="zh-CN"/>
        </w:rPr>
        <w:t>）</w:t>
      </w:r>
      <w:r>
        <w:rPr>
          <w:rFonts w:hint="eastAsia" w:ascii="宋体" w:hAnsi="宋体" w:eastAsia="仿宋_GB2312" w:cs="宋体"/>
          <w:color w:val="000000"/>
          <w:spacing w:val="-6"/>
          <w:sz w:val="24"/>
          <w:szCs w:val="32"/>
        </w:rPr>
        <w:t>项目名称：</w:t>
      </w:r>
      <w:r>
        <w:rPr>
          <w:rFonts w:hint="eastAsia" w:ascii="宋体" w:hAnsi="宋体" w:eastAsia="仿宋_GB2312" w:cs="宋体"/>
          <w:color w:val="000000"/>
          <w:spacing w:val="-6"/>
          <w:sz w:val="24"/>
          <w:szCs w:val="32"/>
          <w:lang w:val="en-US" w:eastAsia="zh-CN"/>
        </w:rPr>
        <w:t>云灾备租用服务</w:t>
      </w:r>
    </w:p>
    <w:p w14:paraId="5E9618B6">
      <w:pPr>
        <w:numPr>
          <w:ilvl w:val="0"/>
          <w:numId w:val="0"/>
        </w:numPr>
        <w:adjustRightInd w:val="0"/>
        <w:snapToGrid w:val="0"/>
        <w:spacing w:line="520" w:lineRule="exact"/>
        <w:ind w:left="420" w:leftChars="200" w:firstLine="0" w:firstLineChars="0"/>
        <w:rPr>
          <w:rFonts w:hint="eastAsia" w:ascii="宋体" w:hAnsi="宋体" w:eastAsia="仿宋_GB2312" w:cs="宋体"/>
          <w:color w:val="000000"/>
          <w:spacing w:val="-6"/>
          <w:sz w:val="24"/>
          <w:szCs w:val="32"/>
        </w:rPr>
      </w:pPr>
      <w:r>
        <w:rPr>
          <w:rFonts w:hint="eastAsia" w:ascii="宋体" w:hAnsi="宋体" w:eastAsia="仿宋_GB2312" w:cs="宋体"/>
          <w:color w:val="000000"/>
          <w:spacing w:val="-6"/>
          <w:sz w:val="24"/>
          <w:szCs w:val="32"/>
          <w:lang w:eastAsia="zh-CN"/>
        </w:rPr>
        <w:t>（</w:t>
      </w:r>
      <w:r>
        <w:rPr>
          <w:rFonts w:hint="eastAsia" w:ascii="宋体" w:hAnsi="宋体" w:eastAsia="仿宋_GB2312" w:cs="宋体"/>
          <w:color w:val="000000"/>
          <w:spacing w:val="-6"/>
          <w:sz w:val="24"/>
          <w:szCs w:val="32"/>
          <w:lang w:val="en-US" w:eastAsia="zh-CN"/>
        </w:rPr>
        <w:t>三</w:t>
      </w:r>
      <w:r>
        <w:rPr>
          <w:rFonts w:hint="eastAsia" w:ascii="宋体" w:hAnsi="宋体" w:eastAsia="仿宋_GB2312" w:cs="宋体"/>
          <w:color w:val="000000"/>
          <w:spacing w:val="-6"/>
          <w:sz w:val="24"/>
          <w:szCs w:val="32"/>
          <w:lang w:eastAsia="zh-CN"/>
        </w:rPr>
        <w:t>）</w:t>
      </w:r>
      <w:r>
        <w:rPr>
          <w:rFonts w:hint="eastAsia" w:ascii="宋体" w:hAnsi="宋体" w:eastAsia="仿宋_GB2312" w:cs="宋体"/>
          <w:color w:val="000000"/>
          <w:spacing w:val="-6"/>
          <w:sz w:val="24"/>
          <w:szCs w:val="32"/>
        </w:rPr>
        <w:t>项目地点：广西壮族自治区南宁市青秀区佛子岭路3号</w:t>
      </w:r>
    </w:p>
    <w:p w14:paraId="35216E84">
      <w:pPr>
        <w:numPr>
          <w:ilvl w:val="0"/>
          <w:numId w:val="0"/>
        </w:numPr>
        <w:adjustRightInd w:val="0"/>
        <w:snapToGrid w:val="0"/>
        <w:spacing w:line="520" w:lineRule="exact"/>
        <w:ind w:left="420" w:leftChars="200" w:firstLine="0" w:firstLineChars="0"/>
        <w:rPr>
          <w:rFonts w:hint="default" w:ascii="宋体" w:hAnsi="宋体" w:eastAsia="仿宋_GB2312" w:cs="宋体"/>
          <w:color w:val="000000"/>
          <w:spacing w:val="-6"/>
          <w:sz w:val="24"/>
          <w:szCs w:val="32"/>
          <w:lang w:val="en-US" w:eastAsia="zh-CN"/>
        </w:rPr>
      </w:pPr>
      <w:r>
        <w:rPr>
          <w:rFonts w:hint="eastAsia" w:ascii="宋体" w:hAnsi="宋体" w:eastAsia="仿宋_GB2312" w:cs="宋体"/>
          <w:color w:val="000000"/>
          <w:spacing w:val="-6"/>
          <w:sz w:val="24"/>
          <w:szCs w:val="32"/>
          <w:lang w:eastAsia="zh-CN"/>
        </w:rPr>
        <w:t>（</w:t>
      </w:r>
      <w:r>
        <w:rPr>
          <w:rFonts w:hint="eastAsia" w:ascii="宋体" w:hAnsi="宋体" w:eastAsia="仿宋_GB2312" w:cs="宋体"/>
          <w:color w:val="000000"/>
          <w:spacing w:val="-6"/>
          <w:sz w:val="24"/>
          <w:szCs w:val="32"/>
          <w:lang w:val="en-US" w:eastAsia="zh-CN"/>
        </w:rPr>
        <w:t>四</w:t>
      </w:r>
      <w:r>
        <w:rPr>
          <w:rFonts w:hint="eastAsia" w:ascii="宋体" w:hAnsi="宋体" w:eastAsia="仿宋_GB2312" w:cs="宋体"/>
          <w:color w:val="000000"/>
          <w:spacing w:val="-6"/>
          <w:sz w:val="24"/>
          <w:szCs w:val="32"/>
          <w:lang w:eastAsia="zh-CN"/>
        </w:rPr>
        <w:t>）</w:t>
      </w:r>
      <w:r>
        <w:rPr>
          <w:rFonts w:hint="eastAsia" w:ascii="宋体" w:hAnsi="宋体" w:eastAsia="仿宋_GB2312" w:cs="宋体"/>
          <w:color w:val="000000"/>
          <w:spacing w:val="-6"/>
          <w:sz w:val="24"/>
          <w:szCs w:val="32"/>
        </w:rPr>
        <w:t>采购预算：</w:t>
      </w:r>
      <w:r>
        <w:rPr>
          <w:rFonts w:hint="eastAsia" w:ascii="宋体" w:hAnsi="宋体" w:eastAsia="仿宋_GB2312" w:cs="宋体"/>
          <w:color w:val="000000"/>
          <w:spacing w:val="-6"/>
          <w:sz w:val="24"/>
          <w:szCs w:val="32"/>
          <w:lang w:val="en-US" w:eastAsia="zh-CN"/>
        </w:rPr>
        <w:t>48万元</w:t>
      </w:r>
    </w:p>
    <w:p w14:paraId="3DE44858">
      <w:pPr>
        <w:numPr>
          <w:ilvl w:val="0"/>
          <w:numId w:val="0"/>
        </w:numPr>
        <w:adjustRightInd w:val="0"/>
        <w:snapToGrid w:val="0"/>
        <w:spacing w:line="520" w:lineRule="exact"/>
        <w:ind w:left="420" w:leftChars="200" w:firstLine="0" w:firstLineChars="0"/>
        <w:rPr>
          <w:rFonts w:hint="default" w:ascii="宋体" w:hAnsi="宋体" w:eastAsia="仿宋_GB2312" w:cs="宋体"/>
          <w:color w:val="000000"/>
          <w:spacing w:val="-6"/>
          <w:sz w:val="24"/>
          <w:szCs w:val="32"/>
          <w:lang w:val="en-US" w:eastAsia="zh-CN"/>
        </w:rPr>
      </w:pPr>
      <w:r>
        <w:rPr>
          <w:rFonts w:hint="eastAsia" w:ascii="宋体" w:hAnsi="宋体" w:eastAsia="仿宋_GB2312" w:cs="宋体"/>
          <w:color w:val="000000"/>
          <w:spacing w:val="-6"/>
          <w:sz w:val="24"/>
          <w:szCs w:val="32"/>
          <w:lang w:eastAsia="zh-CN"/>
        </w:rPr>
        <w:t>（</w:t>
      </w:r>
      <w:r>
        <w:rPr>
          <w:rFonts w:hint="eastAsia" w:ascii="宋体" w:hAnsi="宋体" w:eastAsia="仿宋_GB2312" w:cs="宋体"/>
          <w:color w:val="000000"/>
          <w:spacing w:val="-6"/>
          <w:sz w:val="24"/>
          <w:szCs w:val="32"/>
          <w:lang w:val="en-US" w:eastAsia="zh-CN"/>
        </w:rPr>
        <w:t>五</w:t>
      </w:r>
      <w:r>
        <w:rPr>
          <w:rFonts w:hint="eastAsia" w:ascii="宋体" w:hAnsi="宋体" w:eastAsia="仿宋_GB2312" w:cs="宋体"/>
          <w:color w:val="000000"/>
          <w:spacing w:val="-6"/>
          <w:sz w:val="24"/>
          <w:szCs w:val="32"/>
          <w:lang w:eastAsia="zh-CN"/>
        </w:rPr>
        <w:t>）</w:t>
      </w:r>
      <w:r>
        <w:rPr>
          <w:rFonts w:hint="eastAsia" w:ascii="宋体" w:hAnsi="宋体" w:eastAsia="仿宋_GB2312" w:cs="宋体"/>
          <w:color w:val="000000"/>
          <w:spacing w:val="-6"/>
          <w:sz w:val="24"/>
          <w:szCs w:val="32"/>
        </w:rPr>
        <w:t>采购上控价：</w:t>
      </w:r>
      <w:r>
        <w:rPr>
          <w:rFonts w:hint="eastAsia" w:ascii="宋体" w:hAnsi="宋体" w:eastAsia="仿宋_GB2312" w:cs="宋体"/>
          <w:color w:val="000000"/>
          <w:spacing w:val="-6"/>
          <w:sz w:val="24"/>
          <w:szCs w:val="32"/>
          <w:lang w:val="en-US" w:eastAsia="zh-CN"/>
        </w:rPr>
        <w:t>44万元</w:t>
      </w:r>
    </w:p>
    <w:p w14:paraId="38B7DE89">
      <w:pPr>
        <w:numPr>
          <w:ilvl w:val="0"/>
          <w:numId w:val="0"/>
        </w:numPr>
        <w:adjustRightInd w:val="0"/>
        <w:snapToGrid w:val="0"/>
        <w:spacing w:line="520" w:lineRule="exact"/>
        <w:ind w:left="420" w:leftChars="200" w:firstLine="0" w:firstLineChars="0"/>
        <w:rPr>
          <w:rFonts w:hint="eastAsia" w:ascii="宋体" w:hAnsi="宋体" w:eastAsia="仿宋_GB2312" w:cs="宋体"/>
          <w:color w:val="000000"/>
          <w:spacing w:val="-6"/>
          <w:sz w:val="24"/>
          <w:szCs w:val="32"/>
          <w:lang w:val="en-US" w:eastAsia="zh-CN"/>
        </w:rPr>
      </w:pPr>
      <w:r>
        <w:rPr>
          <w:rFonts w:hint="eastAsia" w:ascii="宋体" w:hAnsi="宋体" w:eastAsia="仿宋_GB2312" w:cs="宋体"/>
          <w:color w:val="000000"/>
          <w:spacing w:val="-6"/>
          <w:sz w:val="24"/>
          <w:szCs w:val="32"/>
          <w:lang w:eastAsia="zh-CN"/>
        </w:rPr>
        <w:t>（</w:t>
      </w:r>
      <w:r>
        <w:rPr>
          <w:rFonts w:hint="eastAsia" w:ascii="宋体" w:hAnsi="宋体" w:eastAsia="仿宋_GB2312" w:cs="宋体"/>
          <w:color w:val="000000"/>
          <w:spacing w:val="-6"/>
          <w:sz w:val="24"/>
          <w:szCs w:val="32"/>
          <w:lang w:val="en-US" w:eastAsia="zh-CN"/>
        </w:rPr>
        <w:t>六</w:t>
      </w:r>
      <w:r>
        <w:rPr>
          <w:rFonts w:hint="eastAsia" w:ascii="宋体" w:hAnsi="宋体" w:eastAsia="仿宋_GB2312" w:cs="宋体"/>
          <w:color w:val="000000"/>
          <w:spacing w:val="-6"/>
          <w:sz w:val="24"/>
          <w:szCs w:val="32"/>
          <w:lang w:eastAsia="zh-CN"/>
        </w:rPr>
        <w:t>）</w:t>
      </w:r>
      <w:r>
        <w:rPr>
          <w:rFonts w:hint="eastAsia" w:ascii="宋体" w:hAnsi="宋体" w:eastAsia="仿宋_GB2312" w:cs="宋体"/>
          <w:color w:val="000000"/>
          <w:spacing w:val="-6"/>
          <w:sz w:val="24"/>
          <w:szCs w:val="32"/>
        </w:rPr>
        <w:t>采购方式：</w:t>
      </w:r>
      <w:r>
        <w:rPr>
          <w:rFonts w:hint="eastAsia" w:ascii="宋体" w:hAnsi="宋体" w:eastAsia="仿宋_GB2312" w:cs="宋体"/>
          <w:color w:val="000000"/>
          <w:spacing w:val="-6"/>
          <w:sz w:val="24"/>
          <w:szCs w:val="32"/>
          <w:lang w:val="en-US" w:eastAsia="zh-CN"/>
        </w:rPr>
        <w:t>建议院内</w:t>
      </w:r>
      <w:r>
        <w:rPr>
          <w:rFonts w:hint="eastAsia" w:ascii="宋体" w:hAnsi="宋体" w:eastAsia="仿宋_GB2312" w:cs="宋体"/>
          <w:color w:val="000000"/>
          <w:spacing w:val="-6"/>
          <w:sz w:val="24"/>
          <w:szCs w:val="32"/>
        </w:rPr>
        <w:t>磋商方式</w:t>
      </w:r>
      <w:r>
        <w:rPr>
          <w:rFonts w:hint="eastAsia" w:ascii="宋体" w:hAnsi="宋体" w:eastAsia="仿宋_GB2312" w:cs="宋体"/>
          <w:color w:val="000000"/>
          <w:spacing w:val="-6"/>
          <w:sz w:val="24"/>
          <w:szCs w:val="32"/>
          <w:lang w:val="en-US" w:eastAsia="zh-CN"/>
        </w:rPr>
        <w:t>采购</w:t>
      </w:r>
    </w:p>
    <w:p w14:paraId="57619ABB">
      <w:pPr>
        <w:numPr>
          <w:ilvl w:val="0"/>
          <w:numId w:val="0"/>
        </w:numPr>
        <w:adjustRightInd w:val="0"/>
        <w:snapToGrid w:val="0"/>
        <w:spacing w:line="520" w:lineRule="exact"/>
        <w:ind w:left="420" w:leftChars="200" w:firstLine="0" w:firstLineChars="0"/>
        <w:rPr>
          <w:rFonts w:hint="eastAsia" w:ascii="宋体" w:hAnsi="宋体" w:eastAsia="仿宋_GB2312" w:cs="宋体"/>
          <w:color w:val="000000"/>
          <w:spacing w:val="-6"/>
          <w:sz w:val="24"/>
          <w:szCs w:val="32"/>
          <w:lang w:val="en-US" w:eastAsia="zh-CN"/>
        </w:rPr>
      </w:pPr>
    </w:p>
    <w:p w14:paraId="39F9FB6F">
      <w:pPr>
        <w:numPr>
          <w:ilvl w:val="0"/>
          <w:numId w:val="1"/>
        </w:numPr>
        <w:adjustRightInd w:val="0"/>
        <w:snapToGrid w:val="0"/>
        <w:spacing w:line="520" w:lineRule="exact"/>
        <w:ind w:firstLine="458" w:firstLineChars="200"/>
        <w:rPr>
          <w:rFonts w:hint="eastAsia" w:ascii="宋体" w:hAnsi="宋体" w:eastAsia="仿宋_GB2312" w:cs="宋体"/>
          <w:b/>
          <w:bCs/>
          <w:color w:val="000000"/>
          <w:spacing w:val="-6"/>
          <w:sz w:val="24"/>
          <w:szCs w:val="32"/>
        </w:rPr>
      </w:pPr>
      <w:r>
        <w:rPr>
          <w:rFonts w:hint="eastAsia" w:ascii="宋体" w:hAnsi="宋体" w:eastAsia="仿宋_GB2312" w:cs="宋体"/>
          <w:b/>
          <w:bCs/>
          <w:color w:val="000000"/>
          <w:spacing w:val="-6"/>
          <w:sz w:val="24"/>
          <w:szCs w:val="32"/>
        </w:rPr>
        <w:t>资质要求</w:t>
      </w:r>
    </w:p>
    <w:p w14:paraId="69866E67">
      <w:pPr>
        <w:numPr>
          <w:ilvl w:val="0"/>
          <w:numId w:val="0"/>
        </w:numPr>
        <w:adjustRightInd w:val="0"/>
        <w:snapToGrid w:val="0"/>
        <w:spacing w:line="520" w:lineRule="exact"/>
        <w:ind w:left="420" w:leftChars="200" w:firstLine="0" w:firstLineChars="0"/>
        <w:rPr>
          <w:rFonts w:hint="eastAsia" w:ascii="宋体" w:hAnsi="宋体" w:eastAsia="仿宋_GB2312" w:cs="宋体"/>
          <w:color w:val="000000"/>
          <w:spacing w:val="-6"/>
          <w:sz w:val="24"/>
          <w:szCs w:val="32"/>
        </w:rPr>
      </w:pPr>
      <w:r>
        <w:rPr>
          <w:rFonts w:hint="eastAsia" w:ascii="宋体" w:hAnsi="宋体" w:eastAsia="仿宋_GB2312" w:cs="宋体"/>
          <w:color w:val="000000"/>
          <w:spacing w:val="-6"/>
          <w:sz w:val="24"/>
          <w:szCs w:val="32"/>
          <w:lang w:eastAsia="zh-CN"/>
        </w:rPr>
        <w:t>（</w:t>
      </w:r>
      <w:r>
        <w:rPr>
          <w:rFonts w:hint="eastAsia" w:ascii="宋体" w:hAnsi="宋体" w:eastAsia="仿宋_GB2312" w:cs="宋体"/>
          <w:color w:val="000000"/>
          <w:spacing w:val="-6"/>
          <w:sz w:val="24"/>
          <w:szCs w:val="32"/>
          <w:lang w:val="en-US" w:eastAsia="zh-CN"/>
        </w:rPr>
        <w:t>一</w:t>
      </w:r>
      <w:r>
        <w:rPr>
          <w:rFonts w:hint="eastAsia" w:ascii="宋体" w:hAnsi="宋体" w:eastAsia="仿宋_GB2312" w:cs="宋体"/>
          <w:color w:val="000000"/>
          <w:spacing w:val="-6"/>
          <w:sz w:val="24"/>
          <w:szCs w:val="32"/>
          <w:lang w:eastAsia="zh-CN"/>
        </w:rPr>
        <w:t>）</w:t>
      </w:r>
      <w:r>
        <w:rPr>
          <w:rFonts w:hint="eastAsia" w:ascii="宋体" w:hAnsi="宋体" w:eastAsia="仿宋_GB2312" w:cs="宋体"/>
          <w:color w:val="000000"/>
          <w:spacing w:val="-6"/>
          <w:sz w:val="24"/>
          <w:szCs w:val="32"/>
        </w:rPr>
        <w:t>具有国内独立法人资格，注册经营范围满足本项目内容的供应商。</w:t>
      </w:r>
    </w:p>
    <w:p w14:paraId="54BAF204">
      <w:pPr>
        <w:numPr>
          <w:ilvl w:val="0"/>
          <w:numId w:val="0"/>
        </w:numPr>
        <w:adjustRightInd w:val="0"/>
        <w:snapToGrid w:val="0"/>
        <w:spacing w:line="520" w:lineRule="exact"/>
        <w:ind w:left="420" w:leftChars="200" w:firstLine="0" w:firstLineChars="0"/>
        <w:rPr>
          <w:rFonts w:hint="eastAsia" w:ascii="宋体" w:hAnsi="宋体" w:eastAsia="仿宋_GB2312" w:cs="宋体"/>
          <w:color w:val="000000"/>
          <w:spacing w:val="-6"/>
          <w:sz w:val="24"/>
          <w:szCs w:val="32"/>
        </w:rPr>
      </w:pPr>
      <w:r>
        <w:rPr>
          <w:rFonts w:hint="eastAsia" w:ascii="宋体" w:hAnsi="宋体" w:eastAsia="仿宋_GB2312" w:cs="宋体"/>
          <w:color w:val="000000"/>
          <w:spacing w:val="-6"/>
          <w:sz w:val="24"/>
          <w:szCs w:val="32"/>
        </w:rPr>
        <w:t>（二）本项目不接受联合体报名。</w:t>
      </w:r>
    </w:p>
    <w:p w14:paraId="1DE618D6">
      <w:pPr>
        <w:numPr>
          <w:ilvl w:val="0"/>
          <w:numId w:val="0"/>
        </w:numPr>
        <w:adjustRightInd w:val="0"/>
        <w:snapToGrid w:val="0"/>
        <w:spacing w:line="520" w:lineRule="exact"/>
        <w:ind w:left="420" w:leftChars="200" w:firstLine="0" w:firstLineChars="0"/>
        <w:rPr>
          <w:rFonts w:hint="eastAsia" w:ascii="宋体" w:hAnsi="宋体" w:eastAsia="仿宋_GB2312" w:cs="宋体"/>
          <w:color w:val="000000"/>
          <w:spacing w:val="-6"/>
          <w:sz w:val="24"/>
          <w:szCs w:val="32"/>
        </w:rPr>
      </w:pPr>
    </w:p>
    <w:p w14:paraId="3CDB047D">
      <w:pPr>
        <w:numPr>
          <w:ilvl w:val="0"/>
          <w:numId w:val="1"/>
        </w:numPr>
        <w:adjustRightInd w:val="0"/>
        <w:snapToGrid w:val="0"/>
        <w:spacing w:line="520" w:lineRule="exact"/>
        <w:ind w:left="0" w:leftChars="0" w:firstLine="458" w:firstLineChars="200"/>
        <w:rPr>
          <w:rFonts w:hint="eastAsia" w:ascii="宋体" w:hAnsi="宋体" w:eastAsia="仿宋_GB2312" w:cs="宋体"/>
          <w:b/>
          <w:bCs/>
          <w:color w:val="000000"/>
          <w:spacing w:val="-6"/>
          <w:sz w:val="24"/>
          <w:szCs w:val="32"/>
        </w:rPr>
      </w:pPr>
      <w:r>
        <w:rPr>
          <w:rFonts w:hint="eastAsia" w:ascii="宋体" w:hAnsi="宋体" w:eastAsia="仿宋_GB2312" w:cs="宋体"/>
          <w:b/>
          <w:bCs/>
          <w:color w:val="000000"/>
          <w:spacing w:val="-6"/>
          <w:sz w:val="24"/>
          <w:szCs w:val="32"/>
        </w:rPr>
        <w:t>参数需求</w:t>
      </w:r>
    </w:p>
    <w:p w14:paraId="285C470E">
      <w:pPr>
        <w:numPr>
          <w:ilvl w:val="0"/>
          <w:numId w:val="0"/>
        </w:numPr>
        <w:adjustRightInd w:val="0"/>
        <w:snapToGrid w:val="0"/>
        <w:spacing w:line="520" w:lineRule="exact"/>
        <w:ind w:left="0" w:leftChars="0" w:firstLine="456" w:firstLineChars="200"/>
        <w:rPr>
          <w:rFonts w:hint="eastAsia" w:ascii="宋体" w:hAnsi="宋体" w:eastAsia="仿宋_GB2312" w:cs="宋体"/>
          <w:color w:val="000000"/>
          <w:spacing w:val="-6"/>
          <w:sz w:val="24"/>
          <w:szCs w:val="32"/>
        </w:rPr>
      </w:pPr>
      <w:r>
        <w:rPr>
          <w:rFonts w:hint="eastAsia" w:ascii="宋体" w:hAnsi="宋体" w:eastAsia="仿宋_GB2312" w:cs="宋体"/>
          <w:color w:val="000000"/>
          <w:spacing w:val="-6"/>
          <w:sz w:val="24"/>
          <w:szCs w:val="32"/>
        </w:rPr>
        <w:t>带“</w:t>
      </w:r>
      <w:bookmarkStart w:id="1" w:name="OLE_LINK1"/>
      <w:bookmarkStart w:id="2" w:name="OLE_LINK2"/>
      <w:r>
        <w:rPr>
          <w:rFonts w:hint="eastAsia" w:ascii="宋体" w:hAnsi="宋体" w:eastAsia="仿宋_GB2312" w:cs="宋体"/>
          <w:color w:val="000000"/>
          <w:spacing w:val="-6"/>
          <w:sz w:val="24"/>
          <w:szCs w:val="32"/>
        </w:rPr>
        <w:t>▲</w:t>
      </w:r>
      <w:bookmarkEnd w:id="1"/>
      <w:bookmarkEnd w:id="2"/>
      <w:r>
        <w:rPr>
          <w:rFonts w:hint="eastAsia" w:ascii="宋体" w:hAnsi="宋体" w:eastAsia="仿宋_GB2312" w:cs="宋体"/>
          <w:color w:val="000000"/>
          <w:spacing w:val="-6"/>
          <w:sz w:val="24"/>
          <w:szCs w:val="32"/>
        </w:rPr>
        <w:t>”号的参数内容为实质性要求和条件，是必须满足的参数，否则被视为无效</w:t>
      </w:r>
      <w:r>
        <w:rPr>
          <w:rFonts w:hint="eastAsia" w:ascii="宋体" w:hAnsi="宋体" w:eastAsia="仿宋_GB2312" w:cs="宋体"/>
          <w:color w:val="000000"/>
          <w:spacing w:val="-6"/>
          <w:sz w:val="24"/>
          <w:szCs w:val="32"/>
          <w:lang w:val="en-US" w:eastAsia="zh-CN"/>
        </w:rPr>
        <w:t>响应</w:t>
      </w:r>
      <w:r>
        <w:rPr>
          <w:rFonts w:hint="eastAsia" w:ascii="宋体" w:hAnsi="宋体" w:eastAsia="仿宋_GB2312" w:cs="宋体"/>
          <w:color w:val="000000"/>
          <w:spacing w:val="-6"/>
          <w:sz w:val="24"/>
          <w:szCs w:val="32"/>
        </w:rPr>
        <w:t>。</w:t>
      </w:r>
    </w:p>
    <w:tbl>
      <w:tblPr>
        <w:tblStyle w:val="7"/>
        <w:tblW w:w="8340" w:type="dxa"/>
        <w:tblInd w:w="1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6"/>
        <w:gridCol w:w="432"/>
        <w:gridCol w:w="1104"/>
        <w:gridCol w:w="5808"/>
      </w:tblGrid>
      <w:tr w14:paraId="3608F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14:paraId="7AF02926">
            <w:pPr>
              <w:keepNext w:val="0"/>
              <w:keepLines w:val="0"/>
              <w:pageBreakBefore w:val="0"/>
              <w:kinsoku/>
              <w:wordWrap/>
              <w:overflowPunct/>
              <w:topLinePunct w:val="0"/>
              <w:autoSpaceDE/>
              <w:autoSpaceDN/>
              <w:bidi w:val="0"/>
              <w:adjustRightInd/>
              <w:snapToGrid/>
              <w:spacing w:line="288" w:lineRule="auto"/>
              <w:jc w:val="center"/>
              <w:textAlignment w:val="auto"/>
              <w:rPr>
                <w:rFonts w:hint="default" w:eastAsiaTheme="minorEastAsia"/>
                <w:b/>
                <w:bCs/>
                <w:color w:val="auto"/>
                <w:sz w:val="24"/>
                <w:szCs w:val="32"/>
                <w:vertAlign w:val="baseline"/>
                <w:lang w:val="en-US" w:eastAsia="zh-CN"/>
              </w:rPr>
            </w:pPr>
            <w:r>
              <w:rPr>
                <w:rFonts w:hint="eastAsia"/>
                <w:b/>
                <w:bCs/>
                <w:color w:val="auto"/>
                <w:sz w:val="24"/>
                <w:szCs w:val="32"/>
                <w:vertAlign w:val="baseline"/>
                <w:lang w:val="en-US" w:eastAsia="zh-CN"/>
              </w:rPr>
              <w:t>技术要求名称</w:t>
            </w:r>
          </w:p>
        </w:tc>
        <w:tc>
          <w:tcPr>
            <w:tcW w:w="432" w:type="dxa"/>
          </w:tcPr>
          <w:p w14:paraId="44F8AAC1">
            <w:pPr>
              <w:keepNext w:val="0"/>
              <w:keepLines w:val="0"/>
              <w:pageBreakBefore w:val="0"/>
              <w:kinsoku/>
              <w:wordWrap/>
              <w:overflowPunct/>
              <w:topLinePunct w:val="0"/>
              <w:autoSpaceDE/>
              <w:autoSpaceDN/>
              <w:bidi w:val="0"/>
              <w:adjustRightInd/>
              <w:snapToGrid/>
              <w:spacing w:line="288" w:lineRule="auto"/>
              <w:jc w:val="center"/>
              <w:textAlignment w:val="auto"/>
              <w:rPr>
                <w:rFonts w:hint="eastAsia" w:eastAsiaTheme="minorEastAsia"/>
                <w:b/>
                <w:bCs/>
                <w:color w:val="auto"/>
                <w:sz w:val="24"/>
                <w:szCs w:val="32"/>
                <w:vertAlign w:val="baseline"/>
                <w:lang w:val="en-US" w:eastAsia="zh-CN"/>
              </w:rPr>
            </w:pPr>
            <w:r>
              <w:rPr>
                <w:rFonts w:hint="eastAsia"/>
                <w:b/>
                <w:bCs/>
                <w:color w:val="auto"/>
                <w:sz w:val="24"/>
                <w:szCs w:val="32"/>
                <w:vertAlign w:val="baseline"/>
                <w:lang w:val="en-US" w:eastAsia="zh-CN"/>
              </w:rPr>
              <w:t>序号</w:t>
            </w:r>
          </w:p>
        </w:tc>
        <w:tc>
          <w:tcPr>
            <w:tcW w:w="1104" w:type="dxa"/>
          </w:tcPr>
          <w:p w14:paraId="7F9D9090">
            <w:pPr>
              <w:keepNext w:val="0"/>
              <w:keepLines w:val="0"/>
              <w:pageBreakBefore w:val="0"/>
              <w:kinsoku/>
              <w:wordWrap/>
              <w:overflowPunct/>
              <w:topLinePunct w:val="0"/>
              <w:autoSpaceDE/>
              <w:autoSpaceDN/>
              <w:bidi w:val="0"/>
              <w:adjustRightInd/>
              <w:snapToGrid/>
              <w:spacing w:line="288" w:lineRule="auto"/>
              <w:jc w:val="center"/>
              <w:textAlignment w:val="auto"/>
              <w:rPr>
                <w:rFonts w:hint="default" w:eastAsiaTheme="minorEastAsia"/>
                <w:b/>
                <w:bCs/>
                <w:color w:val="auto"/>
                <w:sz w:val="24"/>
                <w:szCs w:val="32"/>
                <w:vertAlign w:val="baseline"/>
                <w:lang w:val="en-US" w:eastAsia="zh-CN"/>
              </w:rPr>
            </w:pPr>
            <w:r>
              <w:rPr>
                <w:rFonts w:hint="eastAsia"/>
                <w:b/>
                <w:bCs/>
                <w:color w:val="auto"/>
                <w:sz w:val="24"/>
                <w:szCs w:val="32"/>
                <w:vertAlign w:val="baseline"/>
                <w:lang w:val="en-US" w:eastAsia="zh-CN"/>
              </w:rPr>
              <w:t>技术指标项</w:t>
            </w:r>
          </w:p>
        </w:tc>
        <w:tc>
          <w:tcPr>
            <w:tcW w:w="5808" w:type="dxa"/>
          </w:tcPr>
          <w:p w14:paraId="5E2130FB">
            <w:pPr>
              <w:keepNext w:val="0"/>
              <w:keepLines w:val="0"/>
              <w:pageBreakBefore w:val="0"/>
              <w:kinsoku/>
              <w:wordWrap/>
              <w:overflowPunct/>
              <w:topLinePunct w:val="0"/>
              <w:autoSpaceDE/>
              <w:autoSpaceDN/>
              <w:bidi w:val="0"/>
              <w:adjustRightInd/>
              <w:snapToGrid/>
              <w:spacing w:line="288" w:lineRule="auto"/>
              <w:jc w:val="center"/>
              <w:textAlignment w:val="auto"/>
              <w:rPr>
                <w:rFonts w:hint="default" w:eastAsiaTheme="minorEastAsia"/>
                <w:b/>
                <w:bCs/>
                <w:color w:val="auto"/>
                <w:sz w:val="24"/>
                <w:szCs w:val="32"/>
                <w:vertAlign w:val="baseline"/>
                <w:lang w:val="en-US" w:eastAsia="zh-CN"/>
              </w:rPr>
            </w:pPr>
            <w:r>
              <w:rPr>
                <w:rFonts w:hint="eastAsia"/>
                <w:b/>
                <w:bCs/>
                <w:color w:val="auto"/>
                <w:sz w:val="24"/>
                <w:szCs w:val="32"/>
                <w:vertAlign w:val="baseline"/>
                <w:lang w:val="en-US" w:eastAsia="zh-CN"/>
              </w:rPr>
              <w:t>技术指标要求</w:t>
            </w:r>
          </w:p>
        </w:tc>
      </w:tr>
      <w:tr w14:paraId="68944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vMerge w:val="restart"/>
          </w:tcPr>
          <w:p w14:paraId="7D51AE2C">
            <w:pPr>
              <w:keepNext w:val="0"/>
              <w:keepLines w:val="0"/>
              <w:pageBreakBefore w:val="0"/>
              <w:kinsoku/>
              <w:wordWrap/>
              <w:overflowPunct/>
              <w:topLinePunct w:val="0"/>
              <w:autoSpaceDE/>
              <w:autoSpaceDN/>
              <w:bidi w:val="0"/>
              <w:adjustRightInd/>
              <w:snapToGrid/>
              <w:spacing w:line="288" w:lineRule="auto"/>
              <w:jc w:val="center"/>
              <w:textAlignment w:val="auto"/>
              <w:rPr>
                <w:color w:val="auto"/>
                <w:vertAlign w:val="baseline"/>
              </w:rPr>
            </w:pPr>
            <w:r>
              <w:rPr>
                <w:rFonts w:hint="eastAsia"/>
                <w:color w:val="auto"/>
                <w:vertAlign w:val="baseline"/>
                <w:lang w:val="en-US" w:eastAsia="zh-CN"/>
              </w:rPr>
              <w:t>云灾备租用服务技术要求</w:t>
            </w:r>
          </w:p>
        </w:tc>
        <w:tc>
          <w:tcPr>
            <w:tcW w:w="432" w:type="dxa"/>
          </w:tcPr>
          <w:p w14:paraId="4C829C43">
            <w:pPr>
              <w:keepNext w:val="0"/>
              <w:keepLines w:val="0"/>
              <w:pageBreakBefore w:val="0"/>
              <w:kinsoku/>
              <w:wordWrap/>
              <w:overflowPunct/>
              <w:topLinePunct w:val="0"/>
              <w:autoSpaceDE/>
              <w:autoSpaceDN/>
              <w:bidi w:val="0"/>
              <w:adjustRightInd/>
              <w:snapToGrid/>
              <w:spacing w:line="288" w:lineRule="auto"/>
              <w:jc w:val="both"/>
              <w:textAlignment w:val="auto"/>
              <w:rPr>
                <w:rFonts w:hint="eastAsia" w:eastAsiaTheme="minorEastAsia"/>
                <w:color w:val="auto"/>
                <w:vertAlign w:val="baseline"/>
                <w:lang w:val="en-US" w:eastAsia="zh-CN"/>
              </w:rPr>
            </w:pPr>
            <w:r>
              <w:rPr>
                <w:rFonts w:hint="eastAsia"/>
                <w:color w:val="auto"/>
                <w:vertAlign w:val="baseline"/>
                <w:lang w:val="en-US" w:eastAsia="zh-CN"/>
              </w:rPr>
              <w:t>1</w:t>
            </w:r>
          </w:p>
        </w:tc>
        <w:tc>
          <w:tcPr>
            <w:tcW w:w="1104" w:type="dxa"/>
          </w:tcPr>
          <w:p w14:paraId="41F4CDBE">
            <w:pPr>
              <w:keepNext w:val="0"/>
              <w:keepLines w:val="0"/>
              <w:pageBreakBefore w:val="0"/>
              <w:kinsoku/>
              <w:wordWrap/>
              <w:overflowPunct/>
              <w:topLinePunct w:val="0"/>
              <w:autoSpaceDE/>
              <w:autoSpaceDN/>
              <w:bidi w:val="0"/>
              <w:adjustRightInd/>
              <w:snapToGrid/>
              <w:spacing w:line="288" w:lineRule="auto"/>
              <w:jc w:val="both"/>
              <w:textAlignment w:val="auto"/>
              <w:rPr>
                <w:rFonts w:hint="eastAsia" w:eastAsiaTheme="minorEastAsia"/>
                <w:color w:val="auto"/>
                <w:vertAlign w:val="baseline"/>
                <w:lang w:val="en-US" w:eastAsia="zh-CN"/>
              </w:rPr>
            </w:pPr>
            <w:r>
              <w:rPr>
                <w:rFonts w:hint="eastAsia"/>
                <w:color w:val="auto"/>
                <w:vertAlign w:val="baseline"/>
                <w:lang w:val="en-US" w:eastAsia="zh-CN"/>
              </w:rPr>
              <w:t>架构</w:t>
            </w:r>
          </w:p>
        </w:tc>
        <w:tc>
          <w:tcPr>
            <w:tcW w:w="5808" w:type="dxa"/>
          </w:tcPr>
          <w:p w14:paraId="08D5AD54">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default"/>
                <w:color w:val="auto"/>
                <w:vertAlign w:val="baseline"/>
                <w:lang w:val="en-US"/>
              </w:rPr>
            </w:pPr>
            <w:r>
              <w:rPr>
                <w:rFonts w:hint="eastAsia" w:ascii="宋体" w:hAnsi="宋体" w:cs="宋体"/>
                <w:color w:val="auto"/>
                <w:lang w:val="en"/>
              </w:rPr>
              <w:t>▲</w:t>
            </w:r>
            <w:r>
              <w:rPr>
                <w:rFonts w:hint="eastAsia" w:ascii="宋体" w:hAnsi="宋体" w:eastAsia="宋体" w:cs="Times New Roman"/>
                <w:color w:val="auto"/>
                <w:lang w:val="en-US" w:bidi="zh-CN"/>
              </w:rPr>
              <w:t>容灾</w:t>
            </w:r>
            <w:r>
              <w:rPr>
                <w:rFonts w:hint="eastAsia" w:ascii="宋体" w:hAnsi="宋体" w:eastAsia="宋体" w:cs="Times New Roman"/>
                <w:color w:val="auto"/>
                <w:lang w:bidi="zh-CN"/>
              </w:rPr>
              <w:t>备份</w:t>
            </w:r>
            <w:r>
              <w:rPr>
                <w:rFonts w:ascii="宋体" w:hAnsi="宋体" w:eastAsia="宋体" w:cs="Times New Roman"/>
                <w:color w:val="auto"/>
                <w:lang w:bidi="zh-CN"/>
              </w:rPr>
              <w:t>系统</w:t>
            </w:r>
            <w:r>
              <w:rPr>
                <w:rFonts w:hint="eastAsia" w:ascii="宋体" w:hAnsi="宋体" w:eastAsia="宋体" w:cs="Times New Roman"/>
                <w:color w:val="auto"/>
                <w:lang w:val="en-US" w:bidi="zh-CN"/>
              </w:rPr>
              <w:t>为</w:t>
            </w:r>
            <w:r>
              <w:rPr>
                <w:rFonts w:ascii="宋体" w:hAnsi="宋体" w:eastAsia="宋体" w:cs="Times New Roman"/>
                <w:color w:val="auto"/>
                <w:lang w:bidi="zh-CN"/>
              </w:rPr>
              <w:t>国内</w:t>
            </w:r>
            <w:r>
              <w:rPr>
                <w:rFonts w:hint="eastAsia" w:ascii="宋体" w:hAnsi="宋体" w:eastAsia="宋体" w:cs="Times New Roman"/>
                <w:color w:val="auto"/>
                <w:lang w:bidi="zh-CN"/>
              </w:rPr>
              <w:t>自主</w:t>
            </w:r>
            <w:r>
              <w:rPr>
                <w:rFonts w:ascii="宋体" w:hAnsi="宋体" w:eastAsia="宋体" w:cs="Times New Roman"/>
                <w:color w:val="auto"/>
                <w:lang w:bidi="zh-CN"/>
              </w:rPr>
              <w:t>品牌，拥有</w:t>
            </w:r>
            <w:r>
              <w:rPr>
                <w:rFonts w:hint="eastAsia" w:ascii="宋体" w:hAnsi="宋体" w:eastAsia="宋体" w:cs="Times New Roman"/>
                <w:color w:val="auto"/>
                <w:lang w:val="en-US" w:bidi="zh-CN"/>
              </w:rPr>
              <w:t>独立</w:t>
            </w:r>
            <w:r>
              <w:rPr>
                <w:rFonts w:ascii="宋体" w:hAnsi="宋体" w:eastAsia="宋体" w:cs="Times New Roman"/>
                <w:color w:val="auto"/>
                <w:lang w:bidi="zh-CN"/>
              </w:rPr>
              <w:t>自主知识产权，非OEM</w:t>
            </w:r>
            <w:r>
              <w:rPr>
                <w:rFonts w:hint="eastAsia" w:ascii="宋体" w:hAnsi="宋体" w:eastAsia="宋体" w:cs="Times New Roman"/>
                <w:color w:val="auto"/>
                <w:lang w:bidi="zh-CN"/>
              </w:rPr>
              <w:t>，</w:t>
            </w:r>
            <w:r>
              <w:rPr>
                <w:rFonts w:ascii="宋体" w:hAnsi="宋体" w:eastAsia="宋体" w:cs="Times New Roman"/>
                <w:color w:val="auto"/>
                <w:lang w:val="en-US" w:eastAsia="zh-CN" w:bidi="zh-CN"/>
              </w:rPr>
              <w:t>支持在信创与非信创架构</w:t>
            </w:r>
            <w:r>
              <w:rPr>
                <w:rFonts w:hint="eastAsia" w:ascii="宋体" w:hAnsi="宋体" w:eastAsia="宋体" w:cs="Times New Roman"/>
                <w:color w:val="auto"/>
                <w:lang w:val="en-US" w:eastAsia="zh-CN" w:bidi="zh-CN"/>
              </w:rPr>
              <w:t>下私有部署和云部署。</w:t>
            </w:r>
          </w:p>
        </w:tc>
      </w:tr>
      <w:tr w14:paraId="4911D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vMerge w:val="continue"/>
          </w:tcPr>
          <w:p w14:paraId="737B8073">
            <w:pPr>
              <w:keepNext w:val="0"/>
              <w:keepLines w:val="0"/>
              <w:pageBreakBefore w:val="0"/>
              <w:kinsoku/>
              <w:wordWrap/>
              <w:overflowPunct/>
              <w:topLinePunct w:val="0"/>
              <w:autoSpaceDE/>
              <w:autoSpaceDN/>
              <w:bidi w:val="0"/>
              <w:adjustRightInd/>
              <w:snapToGrid/>
              <w:spacing w:line="288" w:lineRule="auto"/>
              <w:jc w:val="both"/>
              <w:textAlignment w:val="auto"/>
              <w:rPr>
                <w:rFonts w:hint="eastAsia"/>
                <w:color w:val="auto"/>
                <w:vertAlign w:val="baseline"/>
                <w:lang w:val="en-US" w:eastAsia="zh-CN"/>
              </w:rPr>
            </w:pPr>
          </w:p>
        </w:tc>
        <w:tc>
          <w:tcPr>
            <w:tcW w:w="432" w:type="dxa"/>
          </w:tcPr>
          <w:p w14:paraId="7C085254">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default" w:ascii="宋体" w:hAnsi="宋体" w:eastAsia="宋体" w:cs="Times New Roman"/>
                <w:color w:val="auto"/>
                <w:lang w:val="en-US" w:eastAsia="zh-CN" w:bidi="zh-CN"/>
              </w:rPr>
            </w:pPr>
            <w:r>
              <w:rPr>
                <w:rFonts w:hint="eastAsia" w:ascii="宋体" w:hAnsi="宋体" w:eastAsia="宋体" w:cs="Times New Roman"/>
                <w:color w:val="auto"/>
                <w:lang w:val="en-US" w:eastAsia="zh-CN" w:bidi="zh-CN"/>
              </w:rPr>
              <w:t>2</w:t>
            </w:r>
          </w:p>
        </w:tc>
        <w:tc>
          <w:tcPr>
            <w:tcW w:w="1104" w:type="dxa"/>
          </w:tcPr>
          <w:p w14:paraId="7E2564FB">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s="Times New Roman"/>
                <w:color w:val="auto"/>
                <w:lang w:val="en-US" w:eastAsia="zh-CN" w:bidi="zh-CN"/>
              </w:rPr>
            </w:pPr>
            <w:r>
              <w:rPr>
                <w:rFonts w:ascii="宋体" w:hAnsi="宋体" w:eastAsia="宋体" w:cs="Times New Roman"/>
                <w:color w:val="auto"/>
                <w:lang w:val="en-US" w:eastAsia="zh-CN" w:bidi="zh-CN"/>
              </w:rPr>
              <w:t>存储资</w:t>
            </w:r>
            <w:r>
              <w:rPr>
                <w:rFonts w:hint="eastAsia" w:ascii="宋体" w:hAnsi="宋体" w:eastAsia="宋体" w:cs="Times New Roman"/>
                <w:color w:val="auto"/>
                <w:lang w:val="en-US" w:eastAsia="zh-CN" w:bidi="zh-CN"/>
              </w:rPr>
              <w:t>源</w:t>
            </w:r>
          </w:p>
        </w:tc>
        <w:tc>
          <w:tcPr>
            <w:tcW w:w="5808" w:type="dxa"/>
          </w:tcPr>
          <w:p w14:paraId="19BADBBD">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s="Times New Roman"/>
                <w:color w:val="auto"/>
                <w:lang w:val="en-US" w:bidi="zh-CN"/>
              </w:rPr>
            </w:pPr>
            <w:r>
              <w:rPr>
                <w:rFonts w:hint="eastAsia" w:ascii="宋体" w:hAnsi="宋体" w:eastAsia="宋体" w:cs="Times New Roman"/>
                <w:color w:val="auto"/>
                <w:lang w:val="en-US" w:eastAsia="zh-CN" w:bidi="zh-CN"/>
              </w:rPr>
              <w:t>1、</w:t>
            </w:r>
            <w:r>
              <w:rPr>
                <w:rFonts w:ascii="宋体" w:hAnsi="宋体" w:eastAsia="宋体" w:cs="Times New Roman"/>
                <w:color w:val="auto"/>
                <w:lang w:val="en-US" w:eastAsia="zh-CN" w:bidi="zh-CN"/>
              </w:rPr>
              <w:t>支持容量合计不低于</w:t>
            </w:r>
            <w:r>
              <w:rPr>
                <w:rFonts w:hint="eastAsia" w:ascii="宋体" w:hAnsi="宋体" w:eastAsia="宋体" w:cs="Times New Roman"/>
                <w:color w:val="auto"/>
                <w:lang w:val="en-US" w:eastAsia="zh-CN" w:bidi="zh-CN"/>
              </w:rPr>
              <w:t>64</w:t>
            </w:r>
            <w:r>
              <w:rPr>
                <w:rFonts w:ascii="宋体" w:hAnsi="宋体" w:eastAsia="宋体" w:cs="Times New Roman"/>
                <w:color w:val="auto"/>
                <w:lang w:val="en-US" w:eastAsia="zh-CN" w:bidi="zh-CN"/>
              </w:rPr>
              <w:t>TB</w:t>
            </w:r>
            <w:r>
              <w:rPr>
                <w:rFonts w:hint="eastAsia" w:ascii="宋体" w:hAnsi="宋体" w:eastAsia="宋体" w:cs="Times New Roman"/>
                <w:color w:val="auto"/>
                <w:lang w:val="en-US" w:eastAsia="zh-CN" w:bidi="zh-CN"/>
              </w:rPr>
              <w:t>；</w:t>
            </w:r>
            <w:r>
              <w:rPr>
                <w:rFonts w:hint="eastAsia" w:ascii="宋体" w:hAnsi="宋体" w:eastAsia="宋体" w:cs="Times New Roman"/>
                <w:color w:val="auto"/>
                <w:lang w:val="en-US" w:bidi="zh-CN"/>
              </w:rPr>
              <w:t>资源合计不低于2个节点，单节点配置：不低于2颗26核心高速处理器，不低于256GB高速缓存，系统盘不低于2块480GB SSD。</w:t>
            </w:r>
          </w:p>
          <w:p w14:paraId="4ADE311F">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s="Times New Roman"/>
                <w:color w:val="auto"/>
                <w:lang w:val="en-US" w:eastAsia="zh-CN" w:bidi="zh-CN"/>
              </w:rPr>
            </w:pPr>
            <w:r>
              <w:rPr>
                <w:rFonts w:hint="eastAsia" w:ascii="宋体" w:hAnsi="宋体" w:eastAsia="宋体"/>
                <w:color w:val="auto"/>
                <w:lang w:val="en-US" w:eastAsia="zh-CN"/>
              </w:rPr>
              <w:t>2、数据存储</w:t>
            </w:r>
            <w:r>
              <w:rPr>
                <w:rFonts w:hint="eastAsia" w:ascii="宋体" w:hAnsi="宋体" w:eastAsia="宋体"/>
                <w:color w:val="auto"/>
              </w:rPr>
              <w:t>支持本地磁盘、对象存储、SAN存储、NAS存储、磁带库等空间用作备份数据的存储</w:t>
            </w:r>
            <w:r>
              <w:rPr>
                <w:rFonts w:hint="eastAsia" w:ascii="宋体" w:hAnsi="宋体" w:eastAsia="宋体"/>
                <w:color w:val="auto"/>
                <w:lang w:eastAsia="zh-CN"/>
              </w:rPr>
              <w:t>；</w:t>
            </w:r>
            <w:r>
              <w:rPr>
                <w:rFonts w:hint="eastAsia" w:ascii="宋体" w:hAnsi="宋体" w:eastAsia="宋体"/>
                <w:color w:val="auto"/>
              </w:rPr>
              <w:t>可根据业务需要将存储空间配置为备份、容灾、归档等用途</w:t>
            </w:r>
            <w:r>
              <w:rPr>
                <w:rFonts w:hint="eastAsia" w:ascii="宋体" w:hAnsi="宋体" w:eastAsia="宋体"/>
                <w:color w:val="auto"/>
                <w:lang w:eastAsia="zh-CN"/>
              </w:rPr>
              <w:t>；</w:t>
            </w:r>
            <w:r>
              <w:rPr>
                <w:rFonts w:hint="eastAsia" w:ascii="宋体" w:hAnsi="宋体" w:eastAsia="宋体"/>
                <w:color w:val="auto"/>
              </w:rPr>
              <w:t>支持按照使用百分比或使用按大小来设置容量告警</w:t>
            </w:r>
            <w:r>
              <w:rPr>
                <w:rFonts w:hint="eastAsia" w:ascii="宋体" w:hAnsi="宋体" w:eastAsia="宋体"/>
                <w:color w:val="auto"/>
                <w:lang w:eastAsia="zh-CN"/>
              </w:rPr>
              <w:t>。</w:t>
            </w:r>
          </w:p>
        </w:tc>
      </w:tr>
      <w:tr w14:paraId="75FB3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vMerge w:val="continue"/>
          </w:tcPr>
          <w:p w14:paraId="0D882FA3">
            <w:pPr>
              <w:keepNext w:val="0"/>
              <w:keepLines w:val="0"/>
              <w:pageBreakBefore w:val="0"/>
              <w:kinsoku/>
              <w:wordWrap/>
              <w:overflowPunct/>
              <w:topLinePunct w:val="0"/>
              <w:autoSpaceDE/>
              <w:autoSpaceDN/>
              <w:bidi w:val="0"/>
              <w:adjustRightInd/>
              <w:snapToGrid/>
              <w:spacing w:line="288" w:lineRule="auto"/>
              <w:jc w:val="both"/>
              <w:textAlignment w:val="auto"/>
              <w:rPr>
                <w:color w:val="auto"/>
                <w:vertAlign w:val="baseline"/>
              </w:rPr>
            </w:pPr>
          </w:p>
        </w:tc>
        <w:tc>
          <w:tcPr>
            <w:tcW w:w="432" w:type="dxa"/>
          </w:tcPr>
          <w:p w14:paraId="464E852E">
            <w:pPr>
              <w:keepNext w:val="0"/>
              <w:keepLines w:val="0"/>
              <w:pageBreakBefore w:val="0"/>
              <w:kinsoku/>
              <w:wordWrap/>
              <w:overflowPunct/>
              <w:topLinePunct w:val="0"/>
              <w:autoSpaceDE/>
              <w:autoSpaceDN/>
              <w:bidi w:val="0"/>
              <w:adjustRightInd/>
              <w:snapToGrid/>
              <w:spacing w:line="288" w:lineRule="auto"/>
              <w:jc w:val="both"/>
              <w:textAlignment w:val="auto"/>
              <w:rPr>
                <w:rFonts w:hint="eastAsia" w:eastAsiaTheme="minorEastAsia"/>
                <w:color w:val="auto"/>
                <w:vertAlign w:val="baseline"/>
                <w:lang w:val="en-US" w:eastAsia="zh-CN"/>
              </w:rPr>
            </w:pPr>
            <w:r>
              <w:rPr>
                <w:rFonts w:hint="eastAsia"/>
                <w:color w:val="auto"/>
                <w:vertAlign w:val="baseline"/>
                <w:lang w:val="en-US" w:eastAsia="zh-CN"/>
              </w:rPr>
              <w:t>3</w:t>
            </w:r>
          </w:p>
        </w:tc>
        <w:tc>
          <w:tcPr>
            <w:tcW w:w="1104" w:type="dxa"/>
            <w:vAlign w:val="center"/>
          </w:tcPr>
          <w:p w14:paraId="61B9CA3A">
            <w:pPr>
              <w:keepNext w:val="0"/>
              <w:keepLines w:val="0"/>
              <w:pageBreakBefore w:val="0"/>
              <w:widowControl/>
              <w:kinsoku/>
              <w:wordWrap/>
              <w:overflowPunct/>
              <w:topLinePunct w:val="0"/>
              <w:autoSpaceDE/>
              <w:autoSpaceDN/>
              <w:bidi w:val="0"/>
              <w:adjustRightInd/>
              <w:snapToGrid/>
              <w:spacing w:line="288" w:lineRule="auto"/>
              <w:jc w:val="center"/>
              <w:textAlignment w:val="auto"/>
              <w:rPr>
                <w:color w:val="auto"/>
                <w:vertAlign w:val="baseline"/>
              </w:rPr>
            </w:pPr>
            <w:r>
              <w:rPr>
                <w:rFonts w:hint="eastAsia" w:ascii="宋体" w:hAnsi="宋体" w:eastAsia="宋体"/>
                <w:color w:val="auto"/>
              </w:rPr>
              <w:t>许可授权</w:t>
            </w:r>
          </w:p>
        </w:tc>
        <w:tc>
          <w:tcPr>
            <w:tcW w:w="5808" w:type="dxa"/>
            <w:vAlign w:val="center"/>
          </w:tcPr>
          <w:p w14:paraId="3A581DCA">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ascii="宋体" w:hAnsi="宋体" w:eastAsia="宋体" w:cs="Times New Roman"/>
                <w:color w:val="auto"/>
                <w:lang w:val="en-US" w:eastAsia="zh-CN" w:bidi="zh-CN"/>
              </w:rPr>
            </w:pPr>
            <w:r>
              <w:rPr>
                <w:rFonts w:hint="eastAsia" w:ascii="宋体" w:hAnsi="宋体" w:cs="宋体"/>
                <w:color w:val="auto"/>
                <w:lang w:val="en"/>
              </w:rPr>
              <w:t>▲</w:t>
            </w:r>
            <w:r>
              <w:rPr>
                <w:rFonts w:ascii="宋体" w:hAnsi="宋体" w:eastAsia="宋体" w:cs="Times New Roman"/>
                <w:color w:val="auto"/>
                <w:lang w:val="en-US" w:eastAsia="zh-CN" w:bidi="zh-CN"/>
              </w:rPr>
              <w:t>备份系统至少满足</w:t>
            </w:r>
            <w:r>
              <w:rPr>
                <w:rFonts w:hint="eastAsia" w:ascii="宋体" w:hAnsi="宋体" w:eastAsia="宋体" w:cs="Times New Roman"/>
                <w:color w:val="auto"/>
                <w:lang w:val="en-US" w:eastAsia="zh-CN" w:bidi="zh-CN"/>
              </w:rPr>
              <w:t>2</w:t>
            </w:r>
            <w:r>
              <w:rPr>
                <w:rFonts w:ascii="宋体" w:hAnsi="宋体" w:eastAsia="宋体" w:cs="Times New Roman"/>
                <w:color w:val="auto"/>
                <w:lang w:val="en-US" w:eastAsia="zh-CN" w:bidi="zh-CN"/>
              </w:rPr>
              <w:t>0TB容量的</w:t>
            </w:r>
            <w:r>
              <w:rPr>
                <w:rFonts w:hint="eastAsia" w:ascii="宋体" w:hAnsi="宋体" w:eastAsia="宋体" w:cs="Times New Roman"/>
                <w:color w:val="auto"/>
                <w:lang w:val="en-US" w:eastAsia="zh-CN" w:bidi="zh-CN"/>
              </w:rPr>
              <w:t>授权，容灾系统</w:t>
            </w:r>
            <w:r>
              <w:rPr>
                <w:rFonts w:ascii="宋体" w:hAnsi="宋体" w:eastAsia="宋体" w:cs="Times New Roman"/>
                <w:color w:val="auto"/>
                <w:lang w:val="en-US" w:eastAsia="zh-CN" w:bidi="zh-CN"/>
              </w:rPr>
              <w:t>至少满足</w:t>
            </w:r>
            <w:r>
              <w:rPr>
                <w:rFonts w:hint="eastAsia" w:ascii="宋体" w:hAnsi="宋体" w:eastAsia="宋体" w:cs="Times New Roman"/>
                <w:color w:val="auto"/>
                <w:lang w:val="en-US" w:eastAsia="zh-CN" w:bidi="zh-CN"/>
              </w:rPr>
              <w:t>2</w:t>
            </w:r>
            <w:r>
              <w:rPr>
                <w:rFonts w:ascii="宋体" w:hAnsi="宋体" w:eastAsia="宋体" w:cs="Times New Roman"/>
                <w:color w:val="auto"/>
                <w:lang w:val="en-US" w:eastAsia="zh-CN" w:bidi="zh-CN"/>
              </w:rPr>
              <w:t>0TB容量的</w:t>
            </w:r>
            <w:r>
              <w:rPr>
                <w:rFonts w:hint="eastAsia" w:ascii="宋体" w:hAnsi="宋体" w:eastAsia="宋体" w:cs="Times New Roman"/>
                <w:color w:val="auto"/>
                <w:lang w:val="en-US" w:eastAsia="zh-CN" w:bidi="zh-CN"/>
              </w:rPr>
              <w:t>授权，同时</w:t>
            </w:r>
            <w:r>
              <w:rPr>
                <w:rFonts w:ascii="宋体" w:hAnsi="宋体" w:eastAsia="宋体" w:cs="Times New Roman"/>
                <w:color w:val="auto"/>
                <w:lang w:val="en-US" w:eastAsia="zh-CN" w:bidi="zh-CN"/>
              </w:rPr>
              <w:t>不限制物理机和虚拟机客户端授权保护</w:t>
            </w:r>
            <w:r>
              <w:rPr>
                <w:rFonts w:hint="eastAsia" w:ascii="宋体" w:hAnsi="宋体" w:eastAsia="宋体" w:cs="Times New Roman"/>
                <w:color w:val="auto"/>
                <w:lang w:val="en-US" w:eastAsia="zh-CN" w:bidi="zh-CN"/>
              </w:rPr>
              <w:t>数量</w:t>
            </w:r>
            <w:r>
              <w:rPr>
                <w:rFonts w:ascii="宋体" w:hAnsi="宋体" w:eastAsia="宋体" w:cs="Times New Roman"/>
                <w:color w:val="auto"/>
                <w:lang w:val="en-US" w:eastAsia="zh-CN" w:bidi="zh-CN"/>
              </w:rPr>
              <w:t>许可，</w:t>
            </w:r>
            <w:r>
              <w:rPr>
                <w:rFonts w:hint="eastAsia" w:ascii="宋体" w:hAnsi="宋体" w:eastAsia="宋体" w:cs="Times New Roman"/>
                <w:color w:val="auto"/>
                <w:lang w:val="en-US" w:eastAsia="zh-CN" w:bidi="zh-CN"/>
              </w:rPr>
              <w:t>扩展容量许可最小单位为1TB容量许可。</w:t>
            </w:r>
          </w:p>
        </w:tc>
      </w:tr>
      <w:tr w14:paraId="576AC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78" w:hRule="atLeast"/>
        </w:trPr>
        <w:tc>
          <w:tcPr>
            <w:tcW w:w="996" w:type="dxa"/>
            <w:vMerge w:val="continue"/>
          </w:tcPr>
          <w:p w14:paraId="105B9B78">
            <w:pPr>
              <w:keepNext w:val="0"/>
              <w:keepLines w:val="0"/>
              <w:pageBreakBefore w:val="0"/>
              <w:kinsoku/>
              <w:wordWrap/>
              <w:overflowPunct/>
              <w:topLinePunct w:val="0"/>
              <w:autoSpaceDE/>
              <w:autoSpaceDN/>
              <w:bidi w:val="0"/>
              <w:adjustRightInd/>
              <w:snapToGrid/>
              <w:spacing w:line="288" w:lineRule="auto"/>
              <w:jc w:val="both"/>
              <w:textAlignment w:val="auto"/>
              <w:rPr>
                <w:color w:val="auto"/>
                <w:vertAlign w:val="baseline"/>
              </w:rPr>
            </w:pPr>
          </w:p>
        </w:tc>
        <w:tc>
          <w:tcPr>
            <w:tcW w:w="432" w:type="dxa"/>
          </w:tcPr>
          <w:p w14:paraId="3122504B">
            <w:pPr>
              <w:keepNext w:val="0"/>
              <w:keepLines w:val="0"/>
              <w:pageBreakBefore w:val="0"/>
              <w:kinsoku/>
              <w:wordWrap/>
              <w:overflowPunct/>
              <w:topLinePunct w:val="0"/>
              <w:autoSpaceDE/>
              <w:autoSpaceDN/>
              <w:bidi w:val="0"/>
              <w:adjustRightInd/>
              <w:snapToGrid/>
              <w:spacing w:line="288" w:lineRule="auto"/>
              <w:jc w:val="both"/>
              <w:textAlignment w:val="auto"/>
              <w:rPr>
                <w:rFonts w:hint="eastAsia" w:eastAsiaTheme="minorEastAsia"/>
                <w:color w:val="auto"/>
                <w:vertAlign w:val="baseline"/>
                <w:lang w:val="en-US" w:eastAsia="zh-CN"/>
              </w:rPr>
            </w:pPr>
            <w:r>
              <w:rPr>
                <w:rFonts w:hint="eastAsia"/>
                <w:color w:val="auto"/>
                <w:vertAlign w:val="baseline"/>
                <w:lang w:val="en-US" w:eastAsia="zh-CN"/>
              </w:rPr>
              <w:t>4</w:t>
            </w:r>
          </w:p>
        </w:tc>
        <w:tc>
          <w:tcPr>
            <w:tcW w:w="1104" w:type="dxa"/>
            <w:vAlign w:val="center"/>
          </w:tcPr>
          <w:p w14:paraId="430D6CC1">
            <w:pPr>
              <w:keepNext w:val="0"/>
              <w:keepLines w:val="0"/>
              <w:pageBreakBefore w:val="0"/>
              <w:widowControl/>
              <w:kinsoku/>
              <w:wordWrap/>
              <w:overflowPunct/>
              <w:topLinePunct w:val="0"/>
              <w:autoSpaceDE/>
              <w:autoSpaceDN/>
              <w:bidi w:val="0"/>
              <w:adjustRightInd/>
              <w:snapToGrid/>
              <w:spacing w:line="288" w:lineRule="auto"/>
              <w:jc w:val="center"/>
              <w:textAlignment w:val="auto"/>
              <w:rPr>
                <w:rFonts w:hint="eastAsia" w:eastAsia="宋体"/>
                <w:color w:val="auto"/>
                <w:vertAlign w:val="baseline"/>
                <w:lang w:val="en-US" w:eastAsia="zh-CN"/>
              </w:rPr>
            </w:pPr>
            <w:r>
              <w:rPr>
                <w:rFonts w:hint="eastAsia" w:ascii="宋体" w:hAnsi="宋体" w:eastAsia="宋体"/>
                <w:color w:val="auto"/>
              </w:rPr>
              <w:t>管理</w:t>
            </w:r>
            <w:r>
              <w:rPr>
                <w:rFonts w:hint="eastAsia" w:ascii="宋体" w:hAnsi="宋体" w:eastAsia="宋体"/>
                <w:color w:val="auto"/>
                <w:lang w:val="en-US" w:eastAsia="zh-CN"/>
              </w:rPr>
              <w:t>功能</w:t>
            </w:r>
          </w:p>
        </w:tc>
        <w:tc>
          <w:tcPr>
            <w:tcW w:w="5808" w:type="dxa"/>
            <w:vAlign w:val="center"/>
          </w:tcPr>
          <w:p w14:paraId="3A87C297">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default" w:ascii="宋体" w:hAnsi="宋体" w:eastAsia="宋体" w:cs="Times New Roman"/>
                <w:color w:val="auto"/>
                <w:lang w:val="en-US" w:eastAsia="zh-CN" w:bidi="zh-CN"/>
              </w:rPr>
            </w:pPr>
            <w:r>
              <w:rPr>
                <w:rFonts w:hint="eastAsia" w:ascii="宋体" w:hAnsi="宋体" w:eastAsia="宋体" w:cs="Times New Roman"/>
                <w:color w:val="auto"/>
                <w:lang w:val="en-US" w:eastAsia="zh-CN" w:bidi="zh-CN"/>
              </w:rPr>
              <w:t>1、</w:t>
            </w:r>
            <w:r>
              <w:rPr>
                <w:rFonts w:hint="eastAsia" w:ascii="宋体" w:hAnsi="宋体" w:cs="宋体"/>
                <w:color w:val="auto"/>
                <w:lang w:val="en"/>
              </w:rPr>
              <w:t>▲</w:t>
            </w:r>
            <w:r>
              <w:rPr>
                <w:rFonts w:hint="eastAsia" w:ascii="宋体" w:hAnsi="宋体" w:eastAsia="宋体" w:cs="Times New Roman"/>
                <w:color w:val="auto"/>
                <w:lang w:val="en-US" w:eastAsia="zh-CN" w:bidi="zh-CN"/>
              </w:rPr>
              <w:t>支持AI灾备大模型功能拓展及集成，通过AI进行智能化管理，具备AI备份与恢复、验证、演练等调度功能模块；提供用户权限三权分立以及常规模式，</w:t>
            </w:r>
            <w:r>
              <w:rPr>
                <w:rFonts w:ascii="宋体" w:hAnsi="宋体" w:eastAsia="宋体" w:cs="Times New Roman"/>
                <w:color w:val="auto"/>
                <w:lang w:val="en-US" w:eastAsia="zh-CN" w:bidi="zh-CN"/>
              </w:rPr>
              <w:t>支持创建多</w:t>
            </w:r>
            <w:r>
              <w:rPr>
                <w:rFonts w:hint="eastAsia" w:ascii="宋体" w:hAnsi="宋体" w:eastAsia="宋体" w:cs="Times New Roman"/>
                <w:color w:val="auto"/>
                <w:lang w:val="en-US" w:eastAsia="zh-CN" w:bidi="zh-CN"/>
              </w:rPr>
              <w:t>种</w:t>
            </w:r>
            <w:r>
              <w:rPr>
                <w:rFonts w:ascii="宋体" w:hAnsi="宋体" w:eastAsia="宋体" w:cs="Times New Roman"/>
                <w:color w:val="auto"/>
                <w:lang w:val="en-US" w:eastAsia="zh-CN" w:bidi="zh-CN"/>
              </w:rPr>
              <w:t>用户</w:t>
            </w:r>
            <w:r>
              <w:rPr>
                <w:rFonts w:hint="eastAsia" w:ascii="宋体" w:hAnsi="宋体" w:eastAsia="宋体" w:cs="Times New Roman"/>
                <w:color w:val="auto"/>
                <w:lang w:val="en-US" w:eastAsia="zh-CN" w:bidi="zh-CN"/>
              </w:rPr>
              <w:t>类型，</w:t>
            </w:r>
            <w:r>
              <w:rPr>
                <w:rFonts w:ascii="宋体" w:hAnsi="宋体" w:eastAsia="宋体" w:cs="Times New Roman"/>
                <w:color w:val="auto"/>
                <w:lang w:val="en-US" w:eastAsia="zh-CN" w:bidi="zh-CN"/>
              </w:rPr>
              <w:t>确保</w:t>
            </w:r>
            <w:r>
              <w:rPr>
                <w:rFonts w:hint="eastAsia" w:ascii="宋体" w:hAnsi="宋体" w:eastAsia="宋体" w:cs="Times New Roman"/>
                <w:color w:val="auto"/>
                <w:lang w:val="en-US" w:eastAsia="zh-CN" w:bidi="zh-CN"/>
              </w:rPr>
              <w:t>不同权限的用户只能有相应的访问或操作权限，达到保障系统安全的目的</w:t>
            </w:r>
            <w:r>
              <w:rPr>
                <w:rFonts w:ascii="宋体" w:hAnsi="宋体" w:eastAsia="宋体" w:cs="Times New Roman"/>
                <w:color w:val="auto"/>
                <w:lang w:val="en-US" w:eastAsia="zh-CN" w:bidi="zh-CN"/>
              </w:rPr>
              <w:t>。</w:t>
            </w:r>
            <w:r>
              <w:rPr>
                <w:rFonts w:hint="eastAsia" w:ascii="宋体" w:hAnsi="宋体" w:eastAsia="宋体" w:cs="Times New Roman"/>
                <w:color w:val="auto"/>
                <w:lang w:val="en-US" w:eastAsia="zh-CN" w:bidi="zh-CN"/>
              </w:rPr>
              <w:t xml:space="preserve"> （提供功能截图）</w:t>
            </w:r>
          </w:p>
          <w:p w14:paraId="601C7098">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olor w:val="auto"/>
                <w:lang w:val="en-US" w:eastAsia="zh-CN"/>
              </w:rPr>
            </w:pPr>
            <w:r>
              <w:rPr>
                <w:rFonts w:hint="eastAsia" w:ascii="宋体" w:hAnsi="宋体" w:eastAsia="宋体"/>
                <w:color w:val="auto"/>
                <w:lang w:val="en-US" w:eastAsia="zh-CN"/>
              </w:rPr>
              <w:t>2、提供控制台管理功能，全中文操作界面及操作手册，可以通过WEB方式，同时管理多台备份设备，易于维护，提供简单的图形化管理，使管理员能够集中管理所有备份设备的操作。</w:t>
            </w:r>
          </w:p>
          <w:p w14:paraId="3CBD90FB">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s="Segoe UI Symbol"/>
                <w:color w:val="auto"/>
                <w:lang w:bidi="zh-CN"/>
              </w:rPr>
            </w:pPr>
            <w:r>
              <w:rPr>
                <w:rFonts w:hint="eastAsia" w:ascii="宋体" w:hAnsi="宋体" w:eastAsia="宋体" w:cs="Segoe UI Symbol"/>
                <w:color w:val="auto"/>
                <w:lang w:val="en-US" w:bidi="zh-CN"/>
              </w:rPr>
              <w:t>3、</w:t>
            </w:r>
            <w:r>
              <w:rPr>
                <w:rFonts w:hint="eastAsia" w:ascii="宋体" w:hAnsi="宋体" w:eastAsia="宋体" w:cs="Segoe UI Symbol"/>
                <w:color w:val="auto"/>
                <w:lang w:bidi="zh-CN"/>
              </w:rPr>
              <w:t>只有白名单里面的IP可登录管理，保障备份系统的安全。</w:t>
            </w:r>
          </w:p>
          <w:p w14:paraId="415AA54D">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default" w:ascii="宋体" w:hAnsi="宋体" w:eastAsia="宋体" w:cs="Segoe UI Symbol"/>
                <w:color w:val="auto"/>
                <w:lang w:val="en-US" w:eastAsia="zh-CN" w:bidi="zh-CN"/>
              </w:rPr>
            </w:pPr>
            <w:r>
              <w:rPr>
                <w:rFonts w:hint="eastAsia" w:ascii="宋体" w:hAnsi="宋体" w:eastAsia="宋体" w:cs="Segoe UI Symbol"/>
                <w:color w:val="auto"/>
                <w:lang w:val="en-US" w:bidi="zh-CN"/>
              </w:rPr>
              <w:t>4、</w:t>
            </w:r>
            <w:r>
              <w:rPr>
                <w:rFonts w:hint="eastAsia" w:ascii="宋体" w:hAnsi="宋体" w:eastAsia="宋体" w:cs="Segoe UI Symbol"/>
                <w:color w:val="auto"/>
                <w:lang w:bidi="zh-CN"/>
              </w:rPr>
              <w:t>提供对作业状态、告警信息、报表管理、日志管理等状态信息的监控和展示，可对相关报表进行导出</w:t>
            </w:r>
          </w:p>
        </w:tc>
      </w:tr>
      <w:tr w14:paraId="4B119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vMerge w:val="continue"/>
          </w:tcPr>
          <w:p w14:paraId="45D97FD4">
            <w:pPr>
              <w:keepNext w:val="0"/>
              <w:keepLines w:val="0"/>
              <w:pageBreakBefore w:val="0"/>
              <w:kinsoku/>
              <w:wordWrap/>
              <w:overflowPunct/>
              <w:topLinePunct w:val="0"/>
              <w:autoSpaceDE/>
              <w:autoSpaceDN/>
              <w:bidi w:val="0"/>
              <w:adjustRightInd/>
              <w:snapToGrid/>
              <w:spacing w:line="288" w:lineRule="auto"/>
              <w:jc w:val="both"/>
              <w:textAlignment w:val="auto"/>
              <w:rPr>
                <w:color w:val="auto"/>
                <w:vertAlign w:val="baseline"/>
              </w:rPr>
            </w:pPr>
          </w:p>
        </w:tc>
        <w:tc>
          <w:tcPr>
            <w:tcW w:w="432" w:type="dxa"/>
          </w:tcPr>
          <w:p w14:paraId="27DF4962">
            <w:pPr>
              <w:keepNext w:val="0"/>
              <w:keepLines w:val="0"/>
              <w:pageBreakBefore w:val="0"/>
              <w:kinsoku/>
              <w:wordWrap/>
              <w:overflowPunct/>
              <w:topLinePunct w:val="0"/>
              <w:autoSpaceDE/>
              <w:autoSpaceDN/>
              <w:bidi w:val="0"/>
              <w:adjustRightInd/>
              <w:snapToGrid/>
              <w:spacing w:line="288" w:lineRule="auto"/>
              <w:jc w:val="both"/>
              <w:textAlignment w:val="auto"/>
              <w:rPr>
                <w:rFonts w:hint="eastAsia" w:eastAsiaTheme="minorEastAsia"/>
                <w:color w:val="auto"/>
                <w:vertAlign w:val="baseline"/>
                <w:lang w:val="en-US" w:eastAsia="zh-CN"/>
              </w:rPr>
            </w:pPr>
            <w:r>
              <w:rPr>
                <w:rFonts w:hint="eastAsia"/>
                <w:color w:val="auto"/>
                <w:vertAlign w:val="baseline"/>
                <w:lang w:val="en-US" w:eastAsia="zh-CN"/>
              </w:rPr>
              <w:t>5</w:t>
            </w:r>
          </w:p>
        </w:tc>
        <w:tc>
          <w:tcPr>
            <w:tcW w:w="1104" w:type="dxa"/>
            <w:vAlign w:val="center"/>
          </w:tcPr>
          <w:p w14:paraId="120BC56A">
            <w:pPr>
              <w:keepNext w:val="0"/>
              <w:keepLines w:val="0"/>
              <w:pageBreakBefore w:val="0"/>
              <w:widowControl/>
              <w:kinsoku/>
              <w:wordWrap/>
              <w:overflowPunct/>
              <w:topLinePunct w:val="0"/>
              <w:autoSpaceDE/>
              <w:autoSpaceDN/>
              <w:bidi w:val="0"/>
              <w:adjustRightInd/>
              <w:snapToGrid/>
              <w:spacing w:line="288" w:lineRule="auto"/>
              <w:jc w:val="center"/>
              <w:textAlignment w:val="auto"/>
              <w:rPr>
                <w:color w:val="auto"/>
                <w:vertAlign w:val="baseline"/>
              </w:rPr>
            </w:pPr>
            <w:r>
              <w:rPr>
                <w:rFonts w:hint="eastAsia" w:ascii="宋体" w:hAnsi="宋体" w:eastAsia="宋体"/>
                <w:color w:val="auto"/>
              </w:rPr>
              <w:t>智能客户端</w:t>
            </w:r>
          </w:p>
        </w:tc>
        <w:tc>
          <w:tcPr>
            <w:tcW w:w="5808" w:type="dxa"/>
            <w:vAlign w:val="center"/>
          </w:tcPr>
          <w:p w14:paraId="1B5A00B9">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olor w:val="auto"/>
                <w:lang w:val="en-US" w:eastAsia="zh-CN"/>
              </w:rPr>
            </w:pPr>
            <w:r>
              <w:rPr>
                <w:rFonts w:hint="eastAsia" w:ascii="宋体" w:hAnsi="宋体" w:cs="宋体"/>
                <w:color w:val="auto"/>
                <w:lang w:val="en"/>
              </w:rPr>
              <w:t>▲</w:t>
            </w:r>
            <w:r>
              <w:rPr>
                <w:rFonts w:hint="eastAsia" w:ascii="宋体" w:hAnsi="宋体" w:eastAsia="宋体"/>
                <w:color w:val="auto"/>
                <w:lang w:val="en-US" w:eastAsia="zh-CN"/>
              </w:rPr>
              <w:t>提供智能代理推送功能，在管理界面上可以智能批量推送客户端至被保护机器上，并进行保护策略的配置</w:t>
            </w:r>
            <w:r>
              <w:rPr>
                <w:rFonts w:hint="eastAsia" w:ascii="宋体" w:hAnsi="宋体" w:eastAsia="宋体" w:cs="Times New Roman"/>
                <w:color w:val="auto"/>
                <w:lang w:val="en-US" w:eastAsia="zh-CN" w:bidi="zh-CN"/>
              </w:rPr>
              <w:t>（响应时须提供功能截图）</w:t>
            </w:r>
            <w:r>
              <w:rPr>
                <w:rFonts w:hint="eastAsia" w:ascii="宋体" w:hAnsi="宋体" w:eastAsia="宋体"/>
                <w:color w:val="auto"/>
                <w:lang w:val="en-US" w:eastAsia="zh-CN"/>
              </w:rPr>
              <w:t>。</w:t>
            </w:r>
          </w:p>
        </w:tc>
      </w:tr>
      <w:tr w14:paraId="51E08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vMerge w:val="continue"/>
          </w:tcPr>
          <w:p w14:paraId="63DF7EE3">
            <w:pPr>
              <w:keepNext w:val="0"/>
              <w:keepLines w:val="0"/>
              <w:pageBreakBefore w:val="0"/>
              <w:kinsoku/>
              <w:wordWrap/>
              <w:overflowPunct/>
              <w:topLinePunct w:val="0"/>
              <w:autoSpaceDE/>
              <w:autoSpaceDN/>
              <w:bidi w:val="0"/>
              <w:adjustRightInd/>
              <w:snapToGrid/>
              <w:spacing w:line="288" w:lineRule="auto"/>
              <w:jc w:val="both"/>
              <w:textAlignment w:val="auto"/>
              <w:rPr>
                <w:color w:val="auto"/>
                <w:vertAlign w:val="baseline"/>
              </w:rPr>
            </w:pPr>
          </w:p>
        </w:tc>
        <w:tc>
          <w:tcPr>
            <w:tcW w:w="432" w:type="dxa"/>
          </w:tcPr>
          <w:p w14:paraId="6CB3B005">
            <w:pPr>
              <w:keepNext w:val="0"/>
              <w:keepLines w:val="0"/>
              <w:pageBreakBefore w:val="0"/>
              <w:kinsoku/>
              <w:wordWrap/>
              <w:overflowPunct/>
              <w:topLinePunct w:val="0"/>
              <w:autoSpaceDE/>
              <w:autoSpaceDN/>
              <w:bidi w:val="0"/>
              <w:adjustRightInd/>
              <w:snapToGrid/>
              <w:spacing w:line="288" w:lineRule="auto"/>
              <w:jc w:val="both"/>
              <w:textAlignment w:val="auto"/>
              <w:rPr>
                <w:rFonts w:hint="default" w:eastAsiaTheme="minorEastAsia"/>
                <w:color w:val="auto"/>
                <w:vertAlign w:val="baseline"/>
                <w:lang w:val="en-US" w:eastAsia="zh-CN"/>
              </w:rPr>
            </w:pPr>
            <w:r>
              <w:rPr>
                <w:rFonts w:hint="eastAsia"/>
                <w:color w:val="auto"/>
                <w:vertAlign w:val="baseline"/>
                <w:lang w:val="en-US" w:eastAsia="zh-CN"/>
              </w:rPr>
              <w:t>6</w:t>
            </w:r>
          </w:p>
        </w:tc>
        <w:tc>
          <w:tcPr>
            <w:tcW w:w="1104" w:type="dxa"/>
            <w:vAlign w:val="center"/>
          </w:tcPr>
          <w:p w14:paraId="3FFC90C1">
            <w:pPr>
              <w:keepNext w:val="0"/>
              <w:keepLines w:val="0"/>
              <w:pageBreakBefore w:val="0"/>
              <w:widowControl/>
              <w:kinsoku/>
              <w:wordWrap/>
              <w:overflowPunct/>
              <w:topLinePunct w:val="0"/>
              <w:autoSpaceDE/>
              <w:autoSpaceDN/>
              <w:bidi w:val="0"/>
              <w:adjustRightInd/>
              <w:snapToGrid/>
              <w:spacing w:line="288" w:lineRule="auto"/>
              <w:jc w:val="center"/>
              <w:textAlignment w:val="auto"/>
              <w:rPr>
                <w:color w:val="auto"/>
                <w:vertAlign w:val="baseline"/>
              </w:rPr>
            </w:pPr>
            <w:r>
              <w:rPr>
                <w:rFonts w:hint="eastAsia" w:ascii="宋体" w:hAnsi="宋体" w:eastAsia="宋体"/>
                <w:color w:val="auto"/>
              </w:rPr>
              <w:t>备份策略</w:t>
            </w:r>
          </w:p>
        </w:tc>
        <w:tc>
          <w:tcPr>
            <w:tcW w:w="5808" w:type="dxa"/>
            <w:vAlign w:val="center"/>
          </w:tcPr>
          <w:p w14:paraId="520E76C4">
            <w:pPr>
              <w:keepNext w:val="0"/>
              <w:keepLines w:val="0"/>
              <w:pageBreakBefore w:val="0"/>
              <w:widowControl/>
              <w:numPr>
                <w:ilvl w:val="0"/>
                <w:numId w:val="2"/>
              </w:numPr>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olor w:val="auto"/>
                <w:lang w:eastAsia="zh-CN"/>
              </w:rPr>
            </w:pPr>
            <w:r>
              <w:rPr>
                <w:rFonts w:hint="eastAsia" w:ascii="宋体" w:hAnsi="宋体" w:eastAsia="宋体"/>
                <w:color w:val="auto"/>
              </w:rPr>
              <w:t>新建备份任务时可对任务名进行设置，可通过客户端名称、客户端IP地址来查找选择数据源</w:t>
            </w:r>
            <w:r>
              <w:rPr>
                <w:rFonts w:hint="eastAsia" w:ascii="宋体" w:hAnsi="宋体" w:eastAsia="宋体"/>
                <w:color w:val="auto"/>
                <w:lang w:eastAsia="zh-CN"/>
              </w:rPr>
              <w:t>；</w:t>
            </w:r>
          </w:p>
          <w:p w14:paraId="1552710D">
            <w:pPr>
              <w:keepNext w:val="0"/>
              <w:keepLines w:val="0"/>
              <w:pageBreakBefore w:val="0"/>
              <w:widowControl/>
              <w:numPr>
                <w:ilvl w:val="0"/>
                <w:numId w:val="2"/>
              </w:numPr>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olor w:val="auto"/>
                <w:lang w:val="en-US" w:eastAsia="zh-CN"/>
              </w:rPr>
            </w:pPr>
            <w:r>
              <w:rPr>
                <w:rFonts w:hint="eastAsia" w:ascii="宋体" w:hAnsi="宋体" w:eastAsia="宋体"/>
                <w:color w:val="auto"/>
              </w:rPr>
              <w:t>可根据业务需要设置目标存储，可对存储节点、存储池进行配置</w:t>
            </w:r>
            <w:r>
              <w:rPr>
                <w:rFonts w:hint="eastAsia" w:ascii="宋体" w:hAnsi="宋体" w:eastAsia="宋体"/>
                <w:color w:val="auto"/>
                <w:lang w:eastAsia="zh-CN"/>
              </w:rPr>
              <w:t>；</w:t>
            </w:r>
          </w:p>
          <w:p w14:paraId="735EFEF1">
            <w:pPr>
              <w:keepNext w:val="0"/>
              <w:keepLines w:val="0"/>
              <w:pageBreakBefore w:val="0"/>
              <w:widowControl/>
              <w:numPr>
                <w:ilvl w:val="0"/>
                <w:numId w:val="2"/>
              </w:numPr>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olor w:val="auto"/>
                <w:lang w:val="en-US" w:eastAsia="zh-CN"/>
              </w:rPr>
            </w:pPr>
            <w:r>
              <w:rPr>
                <w:rFonts w:hint="eastAsia" w:ascii="宋体" w:hAnsi="宋体" w:eastAsia="宋体"/>
                <w:color w:val="auto"/>
              </w:rPr>
              <w:t>可配置时间计划，计划模式可分为周期计划和一次性计划，具备设置完全备份、增量备份、差异备份的能力，可对完全备份、增量备份的间隔周期、开始时间进行配置，其中间隔周期可以按照分钟、小时、天、周、月进行选择</w:t>
            </w:r>
            <w:r>
              <w:rPr>
                <w:rFonts w:hint="eastAsia" w:ascii="宋体" w:hAnsi="宋体" w:eastAsia="宋体"/>
                <w:color w:val="auto"/>
                <w:lang w:eastAsia="zh-CN"/>
              </w:rPr>
              <w:t>；</w:t>
            </w:r>
          </w:p>
          <w:p w14:paraId="3F7530CA">
            <w:pPr>
              <w:keepNext w:val="0"/>
              <w:keepLines w:val="0"/>
              <w:pageBreakBefore w:val="0"/>
              <w:widowControl/>
              <w:numPr>
                <w:ilvl w:val="0"/>
                <w:numId w:val="2"/>
              </w:numPr>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olor w:val="auto"/>
                <w:lang w:val="en-US" w:eastAsia="zh-CN"/>
              </w:rPr>
            </w:pPr>
            <w:r>
              <w:rPr>
                <w:rFonts w:hint="eastAsia" w:ascii="宋体" w:hAnsi="宋体" w:cs="宋体"/>
                <w:color w:val="auto"/>
                <w:lang w:val="en"/>
              </w:rPr>
              <w:t>▲</w:t>
            </w:r>
            <w:r>
              <w:rPr>
                <w:rFonts w:hint="eastAsia" w:ascii="宋体" w:hAnsi="宋体" w:eastAsia="宋体"/>
                <w:color w:val="auto"/>
              </w:rPr>
              <w:t>提供以下增量模式：当数据源端删除的数据在备份介质中保留，利用备份点仍然可以恢复数据源端已删除的数据</w:t>
            </w:r>
            <w:r>
              <w:rPr>
                <w:rFonts w:hint="eastAsia" w:ascii="宋体" w:hAnsi="宋体" w:eastAsia="宋体"/>
                <w:color w:val="auto"/>
                <w:lang w:eastAsia="zh-CN"/>
              </w:rPr>
              <w:t>；</w:t>
            </w:r>
            <w:r>
              <w:rPr>
                <w:rFonts w:hint="eastAsia" w:ascii="宋体" w:hAnsi="宋体" w:eastAsia="宋体"/>
                <w:color w:val="auto"/>
              </w:rPr>
              <w:t>数据源端与备份介质的数据保持同步，备份点只能恢复至当时的数据状态</w:t>
            </w:r>
            <w:r>
              <w:rPr>
                <w:rFonts w:hint="eastAsia" w:ascii="宋体" w:hAnsi="宋体" w:eastAsia="宋体"/>
                <w:color w:val="auto"/>
                <w:lang w:eastAsia="zh-CN"/>
              </w:rPr>
              <w:t>；</w:t>
            </w:r>
          </w:p>
          <w:p w14:paraId="267F470F">
            <w:pPr>
              <w:keepNext w:val="0"/>
              <w:keepLines w:val="0"/>
              <w:pageBreakBefore w:val="0"/>
              <w:widowControl/>
              <w:numPr>
                <w:ilvl w:val="0"/>
                <w:numId w:val="2"/>
              </w:numPr>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olor w:val="auto"/>
                <w:lang w:val="en-US" w:eastAsia="zh-CN"/>
              </w:rPr>
            </w:pPr>
            <w:r>
              <w:rPr>
                <w:rFonts w:hint="eastAsia" w:ascii="宋体" w:hAnsi="宋体" w:eastAsia="宋体"/>
                <w:color w:val="auto"/>
              </w:rPr>
              <w:t>提供文件过滤能力，可按照文件类型或文件大小进行过滤</w:t>
            </w:r>
            <w:r>
              <w:rPr>
                <w:rFonts w:hint="eastAsia" w:ascii="宋体" w:hAnsi="宋体" w:eastAsia="宋体"/>
                <w:color w:val="auto"/>
                <w:lang w:eastAsia="zh-CN"/>
              </w:rPr>
              <w:t>；</w:t>
            </w:r>
          </w:p>
          <w:p w14:paraId="7831BBD0">
            <w:pPr>
              <w:keepNext w:val="0"/>
              <w:keepLines w:val="0"/>
              <w:pageBreakBefore w:val="0"/>
              <w:widowControl/>
              <w:numPr>
                <w:ilvl w:val="0"/>
                <w:numId w:val="2"/>
              </w:numPr>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olor w:val="auto"/>
                <w:lang w:val="en-US" w:eastAsia="zh-CN"/>
              </w:rPr>
            </w:pPr>
            <w:r>
              <w:rPr>
                <w:rFonts w:hint="eastAsia" w:ascii="宋体" w:hAnsi="宋体" w:eastAsia="宋体"/>
                <w:color w:val="auto"/>
              </w:rPr>
              <w:t>存储策略支持按照保留数量和时间两个不同的维度来自行设置备份数据的保留方式，对备份数据可进行压缩、加密、重复数据删除等操作</w:t>
            </w:r>
            <w:r>
              <w:rPr>
                <w:rFonts w:hint="eastAsia" w:ascii="宋体" w:hAnsi="宋体" w:eastAsia="宋体"/>
                <w:color w:val="auto"/>
                <w:lang w:eastAsia="zh-CN"/>
              </w:rPr>
              <w:t>；</w:t>
            </w:r>
          </w:p>
          <w:p w14:paraId="07BCA88B">
            <w:pPr>
              <w:keepNext w:val="0"/>
              <w:keepLines w:val="0"/>
              <w:pageBreakBefore w:val="0"/>
              <w:widowControl/>
              <w:numPr>
                <w:ilvl w:val="0"/>
                <w:numId w:val="2"/>
              </w:numPr>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olor w:val="auto"/>
                <w:lang w:val="en-US" w:eastAsia="zh-CN"/>
              </w:rPr>
            </w:pPr>
            <w:r>
              <w:rPr>
                <w:rFonts w:hint="eastAsia" w:ascii="宋体" w:hAnsi="宋体" w:eastAsia="宋体"/>
                <w:color w:val="auto"/>
              </w:rPr>
              <w:t>可设置限速策略，对用户可对时间段、限速大小等进行设置</w:t>
            </w:r>
            <w:r>
              <w:rPr>
                <w:rFonts w:hint="eastAsia" w:ascii="宋体" w:hAnsi="宋体" w:eastAsia="宋体"/>
                <w:color w:val="auto"/>
                <w:lang w:eastAsia="zh-CN"/>
              </w:rPr>
              <w:t>。</w:t>
            </w:r>
          </w:p>
        </w:tc>
      </w:tr>
      <w:tr w14:paraId="52E5D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vMerge w:val="continue"/>
          </w:tcPr>
          <w:p w14:paraId="0D316848">
            <w:pPr>
              <w:keepNext w:val="0"/>
              <w:keepLines w:val="0"/>
              <w:pageBreakBefore w:val="0"/>
              <w:kinsoku/>
              <w:wordWrap/>
              <w:overflowPunct/>
              <w:topLinePunct w:val="0"/>
              <w:autoSpaceDE/>
              <w:autoSpaceDN/>
              <w:bidi w:val="0"/>
              <w:adjustRightInd/>
              <w:snapToGrid/>
              <w:spacing w:line="288" w:lineRule="auto"/>
              <w:jc w:val="both"/>
              <w:textAlignment w:val="auto"/>
              <w:rPr>
                <w:color w:val="auto"/>
                <w:vertAlign w:val="baseline"/>
              </w:rPr>
            </w:pPr>
          </w:p>
        </w:tc>
        <w:tc>
          <w:tcPr>
            <w:tcW w:w="432" w:type="dxa"/>
          </w:tcPr>
          <w:p w14:paraId="63907193">
            <w:pPr>
              <w:keepNext w:val="0"/>
              <w:keepLines w:val="0"/>
              <w:pageBreakBefore w:val="0"/>
              <w:kinsoku/>
              <w:wordWrap/>
              <w:overflowPunct/>
              <w:topLinePunct w:val="0"/>
              <w:autoSpaceDE/>
              <w:autoSpaceDN/>
              <w:bidi w:val="0"/>
              <w:adjustRightInd/>
              <w:snapToGrid/>
              <w:spacing w:line="288" w:lineRule="auto"/>
              <w:jc w:val="both"/>
              <w:textAlignment w:val="auto"/>
              <w:rPr>
                <w:rFonts w:hint="default"/>
                <w:color w:val="auto"/>
                <w:vertAlign w:val="baseline"/>
                <w:lang w:val="en-US" w:eastAsia="zh-CN"/>
              </w:rPr>
            </w:pPr>
            <w:r>
              <w:rPr>
                <w:rFonts w:hint="eastAsia"/>
                <w:color w:val="auto"/>
                <w:vertAlign w:val="baseline"/>
                <w:lang w:val="en-US" w:eastAsia="zh-CN"/>
              </w:rPr>
              <w:t>7</w:t>
            </w:r>
          </w:p>
        </w:tc>
        <w:tc>
          <w:tcPr>
            <w:tcW w:w="1104" w:type="dxa"/>
            <w:vAlign w:val="center"/>
          </w:tcPr>
          <w:p w14:paraId="7565BD25">
            <w:pPr>
              <w:keepNext w:val="0"/>
              <w:keepLines w:val="0"/>
              <w:pageBreakBefore w:val="0"/>
              <w:widowControl/>
              <w:kinsoku/>
              <w:wordWrap/>
              <w:overflowPunct/>
              <w:topLinePunct w:val="0"/>
              <w:autoSpaceDE/>
              <w:autoSpaceDN/>
              <w:bidi w:val="0"/>
              <w:adjustRightInd/>
              <w:snapToGrid/>
              <w:spacing w:line="288" w:lineRule="auto"/>
              <w:jc w:val="center"/>
              <w:textAlignment w:val="auto"/>
              <w:rPr>
                <w:rFonts w:hint="eastAsia" w:ascii="宋体" w:hAnsi="宋体" w:eastAsia="宋体"/>
                <w:color w:val="auto"/>
              </w:rPr>
            </w:pPr>
            <w:r>
              <w:rPr>
                <w:rFonts w:hint="eastAsia" w:ascii="宋体" w:hAnsi="宋体" w:eastAsia="宋体"/>
                <w:color w:val="auto"/>
              </w:rPr>
              <w:t>恢复策略</w:t>
            </w:r>
          </w:p>
        </w:tc>
        <w:tc>
          <w:tcPr>
            <w:tcW w:w="5808" w:type="dxa"/>
            <w:vAlign w:val="center"/>
          </w:tcPr>
          <w:p w14:paraId="51C227F4">
            <w:pPr>
              <w:keepNext w:val="0"/>
              <w:keepLines w:val="0"/>
              <w:pageBreakBefore w:val="0"/>
              <w:widowControl/>
              <w:numPr>
                <w:ilvl w:val="0"/>
                <w:numId w:val="3"/>
              </w:numPr>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olor w:val="auto"/>
              </w:rPr>
            </w:pPr>
            <w:r>
              <w:rPr>
                <w:rFonts w:hint="eastAsia" w:ascii="宋体" w:hAnsi="宋体" w:eastAsia="宋体"/>
                <w:color w:val="auto"/>
              </w:rPr>
              <w:t>支持文件异构平台恢复，通过创建时间点恢复作业，选择需要恢复文件所在的主机及指定恢复文件及路径，设置恢复策略等，可以实现Windows文件备份恢复到 Linux平台，支持同一个恢复任务实现多个客户端文件恢复</w:t>
            </w:r>
            <w:r>
              <w:rPr>
                <w:rFonts w:hint="eastAsia" w:ascii="宋体" w:hAnsi="宋体" w:eastAsia="宋体"/>
                <w:color w:val="auto"/>
                <w:lang w:eastAsia="zh-CN"/>
              </w:rPr>
              <w:t>；</w:t>
            </w:r>
          </w:p>
          <w:p w14:paraId="430CF9B4">
            <w:pPr>
              <w:keepNext w:val="0"/>
              <w:keepLines w:val="0"/>
              <w:pageBreakBefore w:val="0"/>
              <w:widowControl/>
              <w:numPr>
                <w:ilvl w:val="0"/>
                <w:numId w:val="3"/>
              </w:numPr>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olor w:val="auto"/>
              </w:rPr>
            </w:pPr>
            <w:r>
              <w:rPr>
                <w:rFonts w:hint="eastAsia" w:ascii="宋体" w:hAnsi="宋体" w:cs="宋体"/>
                <w:color w:val="auto"/>
                <w:lang w:val="en"/>
              </w:rPr>
              <w:t>▲</w:t>
            </w:r>
            <w:r>
              <w:rPr>
                <w:rFonts w:hint="eastAsia" w:ascii="宋体" w:hAnsi="宋体" w:eastAsia="宋体"/>
                <w:color w:val="auto"/>
              </w:rPr>
              <w:t>虚拟化平台恢复具备传统恢复和快速恢复两种模式，采用传统恢复可将恢复数据传输到恢复目标中，采用快速恢复时可将恢复数据进行快速挂载，实现业务的快速恢复。可对恢复时的虚拟机的CPU核数、内存大小、存储空间、网络等进行统一或独立配置</w:t>
            </w:r>
            <w:r>
              <w:rPr>
                <w:rFonts w:hint="eastAsia" w:ascii="宋体" w:hAnsi="宋体" w:eastAsia="宋体"/>
                <w:color w:val="auto"/>
                <w:lang w:eastAsia="zh-CN"/>
              </w:rPr>
              <w:t>；</w:t>
            </w:r>
          </w:p>
          <w:p w14:paraId="7C3F3B17">
            <w:pPr>
              <w:keepNext w:val="0"/>
              <w:keepLines w:val="0"/>
              <w:pageBreakBefore w:val="0"/>
              <w:widowControl/>
              <w:numPr>
                <w:ilvl w:val="0"/>
                <w:numId w:val="3"/>
              </w:numPr>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olor w:val="auto"/>
              </w:rPr>
            </w:pPr>
            <w:r>
              <w:rPr>
                <w:rFonts w:hint="eastAsia" w:ascii="宋体" w:hAnsi="宋体" w:eastAsia="宋体"/>
                <w:color w:val="auto"/>
              </w:rPr>
              <w:t>恢复时可进行传输策略设置，可进行传输带宽大小进行设置</w:t>
            </w:r>
            <w:r>
              <w:rPr>
                <w:rFonts w:hint="eastAsia" w:ascii="宋体" w:hAnsi="宋体" w:eastAsia="宋体"/>
                <w:color w:val="auto"/>
                <w:lang w:eastAsia="zh-CN"/>
              </w:rPr>
              <w:t>；</w:t>
            </w:r>
          </w:p>
          <w:p w14:paraId="0977B751">
            <w:pPr>
              <w:keepNext w:val="0"/>
              <w:keepLines w:val="0"/>
              <w:pageBreakBefore w:val="0"/>
              <w:widowControl/>
              <w:numPr>
                <w:ilvl w:val="0"/>
                <w:numId w:val="3"/>
              </w:numPr>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olor w:val="auto"/>
              </w:rPr>
            </w:pPr>
            <w:r>
              <w:rPr>
                <w:rFonts w:hint="eastAsia" w:ascii="宋体" w:hAnsi="宋体" w:eastAsia="宋体"/>
                <w:color w:val="auto"/>
              </w:rPr>
              <w:t>恢复时目标位置存在重复的文件时可选择跳过或覆盖</w:t>
            </w:r>
            <w:r>
              <w:rPr>
                <w:rFonts w:hint="eastAsia" w:ascii="宋体" w:hAnsi="宋体" w:eastAsia="宋体"/>
                <w:color w:val="auto"/>
                <w:lang w:eastAsia="zh-CN"/>
              </w:rPr>
              <w:t>。</w:t>
            </w:r>
          </w:p>
        </w:tc>
      </w:tr>
      <w:tr w14:paraId="5AE3F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vMerge w:val="continue"/>
          </w:tcPr>
          <w:p w14:paraId="5F740870">
            <w:pPr>
              <w:keepNext w:val="0"/>
              <w:keepLines w:val="0"/>
              <w:pageBreakBefore w:val="0"/>
              <w:kinsoku/>
              <w:wordWrap/>
              <w:overflowPunct/>
              <w:topLinePunct w:val="0"/>
              <w:autoSpaceDE/>
              <w:autoSpaceDN/>
              <w:bidi w:val="0"/>
              <w:adjustRightInd/>
              <w:snapToGrid/>
              <w:spacing w:line="288" w:lineRule="auto"/>
              <w:jc w:val="both"/>
              <w:textAlignment w:val="auto"/>
              <w:rPr>
                <w:color w:val="auto"/>
                <w:vertAlign w:val="baseline"/>
              </w:rPr>
            </w:pPr>
          </w:p>
        </w:tc>
        <w:tc>
          <w:tcPr>
            <w:tcW w:w="432" w:type="dxa"/>
          </w:tcPr>
          <w:p w14:paraId="6440FAB8">
            <w:pPr>
              <w:keepNext w:val="0"/>
              <w:keepLines w:val="0"/>
              <w:pageBreakBefore w:val="0"/>
              <w:kinsoku/>
              <w:wordWrap/>
              <w:overflowPunct/>
              <w:topLinePunct w:val="0"/>
              <w:autoSpaceDE/>
              <w:autoSpaceDN/>
              <w:bidi w:val="0"/>
              <w:adjustRightInd/>
              <w:snapToGrid/>
              <w:spacing w:line="288" w:lineRule="auto"/>
              <w:jc w:val="both"/>
              <w:textAlignment w:val="auto"/>
              <w:rPr>
                <w:rFonts w:hint="default" w:eastAsiaTheme="minorEastAsia"/>
                <w:color w:val="auto"/>
                <w:vertAlign w:val="baseline"/>
                <w:lang w:val="en-US" w:eastAsia="zh-CN"/>
              </w:rPr>
            </w:pPr>
            <w:r>
              <w:rPr>
                <w:rFonts w:hint="eastAsia"/>
                <w:color w:val="auto"/>
                <w:vertAlign w:val="baseline"/>
                <w:lang w:val="en-US" w:eastAsia="zh-CN"/>
              </w:rPr>
              <w:t>8</w:t>
            </w:r>
          </w:p>
        </w:tc>
        <w:tc>
          <w:tcPr>
            <w:tcW w:w="1104" w:type="dxa"/>
            <w:vAlign w:val="center"/>
          </w:tcPr>
          <w:p w14:paraId="2987BFC6">
            <w:pPr>
              <w:keepNext w:val="0"/>
              <w:keepLines w:val="0"/>
              <w:pageBreakBefore w:val="0"/>
              <w:widowControl/>
              <w:kinsoku/>
              <w:wordWrap/>
              <w:overflowPunct/>
              <w:topLinePunct w:val="0"/>
              <w:autoSpaceDE/>
              <w:autoSpaceDN/>
              <w:bidi w:val="0"/>
              <w:adjustRightInd/>
              <w:snapToGrid/>
              <w:spacing w:line="288" w:lineRule="auto"/>
              <w:jc w:val="center"/>
              <w:textAlignment w:val="auto"/>
              <w:rPr>
                <w:rFonts w:hint="eastAsia" w:ascii="宋体" w:hAnsi="宋体" w:eastAsia="宋体"/>
                <w:color w:val="auto"/>
              </w:rPr>
            </w:pPr>
            <w:r>
              <w:rPr>
                <w:rFonts w:hint="eastAsia" w:ascii="宋体" w:hAnsi="宋体" w:eastAsia="宋体"/>
                <w:color w:val="auto"/>
                <w:lang w:val="en-US" w:eastAsia="zh-CN"/>
              </w:rPr>
              <w:t>文件保护服务</w:t>
            </w:r>
          </w:p>
          <w:p w14:paraId="1EE2F5B7">
            <w:pPr>
              <w:keepNext w:val="0"/>
              <w:keepLines w:val="0"/>
              <w:pageBreakBefore w:val="0"/>
              <w:widowControl/>
              <w:kinsoku/>
              <w:wordWrap/>
              <w:overflowPunct/>
              <w:topLinePunct w:val="0"/>
              <w:autoSpaceDE/>
              <w:autoSpaceDN/>
              <w:bidi w:val="0"/>
              <w:adjustRightInd/>
              <w:snapToGrid/>
              <w:spacing w:line="288" w:lineRule="auto"/>
              <w:jc w:val="center"/>
              <w:textAlignment w:val="auto"/>
              <w:rPr>
                <w:rFonts w:hint="eastAsia" w:ascii="宋体" w:hAnsi="宋体" w:eastAsia="宋体"/>
                <w:color w:val="auto"/>
              </w:rPr>
            </w:pPr>
          </w:p>
        </w:tc>
        <w:tc>
          <w:tcPr>
            <w:tcW w:w="5808" w:type="dxa"/>
            <w:vAlign w:val="center"/>
          </w:tcPr>
          <w:p w14:paraId="6957CC40">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olor w:val="auto"/>
                <w:lang w:val="en-US" w:eastAsia="zh-CN"/>
              </w:rPr>
            </w:pPr>
            <w:r>
              <w:rPr>
                <w:rFonts w:hint="eastAsia" w:ascii="宋体" w:hAnsi="宋体" w:cs="宋体"/>
                <w:color w:val="auto"/>
                <w:lang w:val="en"/>
              </w:rPr>
              <w:t>▲</w:t>
            </w:r>
            <w:r>
              <w:rPr>
                <w:rFonts w:hint="eastAsia" w:ascii="宋体" w:hAnsi="宋体" w:eastAsia="宋体"/>
                <w:color w:val="auto"/>
                <w:lang w:val="en-US" w:eastAsia="zh-CN"/>
              </w:rPr>
              <w:t>支持文件备份，可以在同一个文件备份任务中，备份多个客户端的不同路径下的文件，同时支持在一个文件恢复任务中，恢复多个客户端的文件，支持对每个客户端配置不同的恢复策略，支持原路径快速恢复，以及指定路径恢复。</w:t>
            </w:r>
          </w:p>
        </w:tc>
      </w:tr>
      <w:tr w14:paraId="0AF69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vMerge w:val="continue"/>
          </w:tcPr>
          <w:p w14:paraId="7AD121A3">
            <w:pPr>
              <w:keepNext w:val="0"/>
              <w:keepLines w:val="0"/>
              <w:pageBreakBefore w:val="0"/>
              <w:kinsoku/>
              <w:wordWrap/>
              <w:overflowPunct/>
              <w:topLinePunct w:val="0"/>
              <w:autoSpaceDE/>
              <w:autoSpaceDN/>
              <w:bidi w:val="0"/>
              <w:adjustRightInd/>
              <w:snapToGrid/>
              <w:spacing w:line="288" w:lineRule="auto"/>
              <w:jc w:val="both"/>
              <w:textAlignment w:val="auto"/>
              <w:rPr>
                <w:color w:val="auto"/>
                <w:vertAlign w:val="baseline"/>
              </w:rPr>
            </w:pPr>
          </w:p>
        </w:tc>
        <w:tc>
          <w:tcPr>
            <w:tcW w:w="432" w:type="dxa"/>
          </w:tcPr>
          <w:p w14:paraId="144A0B3E">
            <w:pPr>
              <w:keepNext w:val="0"/>
              <w:keepLines w:val="0"/>
              <w:pageBreakBefore w:val="0"/>
              <w:kinsoku/>
              <w:wordWrap/>
              <w:overflowPunct/>
              <w:topLinePunct w:val="0"/>
              <w:autoSpaceDE/>
              <w:autoSpaceDN/>
              <w:bidi w:val="0"/>
              <w:adjustRightInd/>
              <w:snapToGrid/>
              <w:spacing w:line="288" w:lineRule="auto"/>
              <w:jc w:val="both"/>
              <w:textAlignment w:val="auto"/>
              <w:rPr>
                <w:rFonts w:hint="default" w:eastAsiaTheme="minorEastAsia"/>
                <w:color w:val="auto"/>
                <w:vertAlign w:val="baseline"/>
                <w:lang w:val="en-US" w:eastAsia="zh-CN"/>
              </w:rPr>
            </w:pPr>
            <w:r>
              <w:rPr>
                <w:rFonts w:hint="eastAsia"/>
                <w:color w:val="auto"/>
                <w:vertAlign w:val="baseline"/>
                <w:lang w:val="en-US" w:eastAsia="zh-CN"/>
              </w:rPr>
              <w:t>9</w:t>
            </w:r>
          </w:p>
        </w:tc>
        <w:tc>
          <w:tcPr>
            <w:tcW w:w="1104" w:type="dxa"/>
            <w:vAlign w:val="center"/>
          </w:tcPr>
          <w:p w14:paraId="6DE315DC">
            <w:pPr>
              <w:keepNext w:val="0"/>
              <w:keepLines w:val="0"/>
              <w:pageBreakBefore w:val="0"/>
              <w:widowControl/>
              <w:kinsoku/>
              <w:wordWrap/>
              <w:overflowPunct/>
              <w:topLinePunct w:val="0"/>
              <w:autoSpaceDE/>
              <w:autoSpaceDN/>
              <w:bidi w:val="0"/>
              <w:adjustRightInd/>
              <w:snapToGrid/>
              <w:spacing w:line="288" w:lineRule="auto"/>
              <w:jc w:val="center"/>
              <w:textAlignment w:val="auto"/>
              <w:rPr>
                <w:rFonts w:hint="eastAsia" w:ascii="宋体" w:hAnsi="宋体" w:eastAsia="宋体"/>
                <w:color w:val="auto"/>
              </w:rPr>
            </w:pPr>
            <w:r>
              <w:rPr>
                <w:rFonts w:hint="eastAsia" w:ascii="宋体" w:hAnsi="宋体" w:eastAsia="宋体"/>
                <w:color w:val="auto"/>
              </w:rPr>
              <w:t>虚拟化平台</w:t>
            </w:r>
            <w:r>
              <w:rPr>
                <w:rFonts w:hint="eastAsia" w:ascii="宋体" w:hAnsi="宋体" w:eastAsia="宋体"/>
                <w:color w:val="auto"/>
                <w:lang w:val="en-US" w:eastAsia="zh-CN"/>
              </w:rPr>
              <w:t>保护服务</w:t>
            </w:r>
          </w:p>
        </w:tc>
        <w:tc>
          <w:tcPr>
            <w:tcW w:w="5808" w:type="dxa"/>
            <w:vAlign w:val="center"/>
          </w:tcPr>
          <w:p w14:paraId="19F7653E">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olor w:val="auto"/>
                <w:lang w:val="en-US" w:eastAsia="zh-CN"/>
              </w:rPr>
            </w:pPr>
            <w:r>
              <w:rPr>
                <w:rFonts w:hint="eastAsia" w:ascii="宋体" w:hAnsi="宋体" w:cs="宋体"/>
                <w:color w:val="auto"/>
                <w:lang w:val="en"/>
              </w:rPr>
              <w:t>▲</w:t>
            </w:r>
            <w:r>
              <w:rPr>
                <w:rFonts w:hint="eastAsia" w:ascii="宋体" w:hAnsi="宋体" w:eastAsia="宋体"/>
                <w:color w:val="auto"/>
                <w:lang w:val="en-US" w:eastAsia="zh-CN"/>
              </w:rPr>
              <w:t>提供对虚拟化平台无代理备份能力，支持Vmware、Hyper-V、云宏Cnware、深信服超融合，华为Fusion compute、H3C CAS/UIS、瑞驰、KVM等虚拟化平台的无代理备份，支持CBT以便减少数据的传输量，支持虚拟化平台异机恢复和快速恢复</w:t>
            </w:r>
          </w:p>
        </w:tc>
      </w:tr>
      <w:tr w14:paraId="0C581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vMerge w:val="continue"/>
          </w:tcPr>
          <w:p w14:paraId="39EB6F5E">
            <w:pPr>
              <w:keepNext w:val="0"/>
              <w:keepLines w:val="0"/>
              <w:pageBreakBefore w:val="0"/>
              <w:kinsoku/>
              <w:wordWrap/>
              <w:overflowPunct/>
              <w:topLinePunct w:val="0"/>
              <w:autoSpaceDE/>
              <w:autoSpaceDN/>
              <w:bidi w:val="0"/>
              <w:adjustRightInd/>
              <w:snapToGrid/>
              <w:spacing w:line="288" w:lineRule="auto"/>
              <w:jc w:val="both"/>
              <w:textAlignment w:val="auto"/>
              <w:rPr>
                <w:color w:val="auto"/>
                <w:vertAlign w:val="baseline"/>
              </w:rPr>
            </w:pPr>
          </w:p>
        </w:tc>
        <w:tc>
          <w:tcPr>
            <w:tcW w:w="432" w:type="dxa"/>
          </w:tcPr>
          <w:p w14:paraId="2834B4B8">
            <w:pPr>
              <w:keepNext w:val="0"/>
              <w:keepLines w:val="0"/>
              <w:pageBreakBefore w:val="0"/>
              <w:kinsoku/>
              <w:wordWrap/>
              <w:overflowPunct/>
              <w:topLinePunct w:val="0"/>
              <w:autoSpaceDE/>
              <w:autoSpaceDN/>
              <w:bidi w:val="0"/>
              <w:adjustRightInd/>
              <w:snapToGrid/>
              <w:spacing w:line="288" w:lineRule="auto"/>
              <w:jc w:val="both"/>
              <w:textAlignment w:val="auto"/>
              <w:rPr>
                <w:rFonts w:hint="default" w:eastAsiaTheme="minorEastAsia"/>
                <w:color w:val="auto"/>
                <w:vertAlign w:val="baseline"/>
                <w:lang w:val="en-US" w:eastAsia="zh-CN"/>
              </w:rPr>
            </w:pPr>
            <w:r>
              <w:rPr>
                <w:rFonts w:hint="eastAsia"/>
                <w:color w:val="auto"/>
                <w:vertAlign w:val="baseline"/>
                <w:lang w:val="en-US" w:eastAsia="zh-CN"/>
              </w:rPr>
              <w:t>10</w:t>
            </w:r>
          </w:p>
        </w:tc>
        <w:tc>
          <w:tcPr>
            <w:tcW w:w="1104" w:type="dxa"/>
            <w:vAlign w:val="center"/>
          </w:tcPr>
          <w:p w14:paraId="621BD8F1">
            <w:pPr>
              <w:keepNext w:val="0"/>
              <w:keepLines w:val="0"/>
              <w:pageBreakBefore w:val="0"/>
              <w:widowControl/>
              <w:kinsoku/>
              <w:wordWrap/>
              <w:overflowPunct/>
              <w:topLinePunct w:val="0"/>
              <w:autoSpaceDE/>
              <w:autoSpaceDN/>
              <w:bidi w:val="0"/>
              <w:adjustRightInd/>
              <w:snapToGrid/>
              <w:spacing w:line="288" w:lineRule="auto"/>
              <w:jc w:val="center"/>
              <w:textAlignment w:val="auto"/>
              <w:rPr>
                <w:rFonts w:hint="eastAsia" w:ascii="宋体" w:hAnsi="宋体" w:eastAsia="宋体"/>
                <w:color w:val="auto"/>
              </w:rPr>
            </w:pPr>
            <w:r>
              <w:rPr>
                <w:rFonts w:hint="eastAsia" w:ascii="宋体" w:hAnsi="宋体" w:eastAsia="宋体"/>
                <w:color w:val="auto"/>
              </w:rPr>
              <w:t>数据库</w:t>
            </w:r>
            <w:r>
              <w:rPr>
                <w:rFonts w:hint="eastAsia" w:ascii="宋体" w:hAnsi="宋体" w:eastAsia="宋体"/>
                <w:color w:val="auto"/>
                <w:lang w:val="en-US" w:eastAsia="zh-CN"/>
              </w:rPr>
              <w:t>保护服务</w:t>
            </w:r>
          </w:p>
        </w:tc>
        <w:tc>
          <w:tcPr>
            <w:tcW w:w="5808" w:type="dxa"/>
            <w:vAlign w:val="center"/>
          </w:tcPr>
          <w:p w14:paraId="11F9BD81">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olor w:val="auto"/>
                <w:lang w:val="en-US" w:eastAsia="zh-CN"/>
              </w:rPr>
            </w:pPr>
            <w:r>
              <w:rPr>
                <w:rFonts w:hint="eastAsia" w:ascii="宋体" w:hAnsi="宋体" w:cs="宋体"/>
                <w:color w:val="auto"/>
                <w:lang w:val="en"/>
              </w:rPr>
              <w:t>▲</w:t>
            </w:r>
            <w:r>
              <w:rPr>
                <w:rFonts w:hint="eastAsia" w:ascii="宋体" w:hAnsi="宋体" w:eastAsia="宋体"/>
                <w:color w:val="auto"/>
                <w:lang w:val="en-US" w:eastAsia="zh-CN"/>
              </w:rPr>
              <w:t>支持Oracle，SQL Server，MySQL，GreenPlam以及国产主流数据库系统包括达梦、人大金仓、南大通用、神舟通用，奥星贝斯（OceanBase）等主流国产数据库系统的备份，恢复，支持数据库的全量，增量，以及差异备份。</w:t>
            </w:r>
          </w:p>
        </w:tc>
      </w:tr>
      <w:tr w14:paraId="0F4A3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vMerge w:val="continue"/>
          </w:tcPr>
          <w:p w14:paraId="3C9DEE4A">
            <w:pPr>
              <w:keepNext w:val="0"/>
              <w:keepLines w:val="0"/>
              <w:pageBreakBefore w:val="0"/>
              <w:kinsoku/>
              <w:wordWrap/>
              <w:overflowPunct/>
              <w:topLinePunct w:val="0"/>
              <w:autoSpaceDE/>
              <w:autoSpaceDN/>
              <w:bidi w:val="0"/>
              <w:adjustRightInd/>
              <w:snapToGrid/>
              <w:spacing w:line="288" w:lineRule="auto"/>
              <w:jc w:val="both"/>
              <w:textAlignment w:val="auto"/>
              <w:rPr>
                <w:color w:val="auto"/>
                <w:vertAlign w:val="baseline"/>
              </w:rPr>
            </w:pPr>
          </w:p>
        </w:tc>
        <w:tc>
          <w:tcPr>
            <w:tcW w:w="432" w:type="dxa"/>
          </w:tcPr>
          <w:p w14:paraId="7F2B1703">
            <w:pPr>
              <w:keepNext w:val="0"/>
              <w:keepLines w:val="0"/>
              <w:pageBreakBefore w:val="0"/>
              <w:kinsoku/>
              <w:wordWrap/>
              <w:overflowPunct/>
              <w:topLinePunct w:val="0"/>
              <w:autoSpaceDE/>
              <w:autoSpaceDN/>
              <w:bidi w:val="0"/>
              <w:adjustRightInd/>
              <w:snapToGrid/>
              <w:spacing w:line="288" w:lineRule="auto"/>
              <w:jc w:val="both"/>
              <w:textAlignment w:val="auto"/>
              <w:rPr>
                <w:rFonts w:hint="default" w:eastAsiaTheme="minorEastAsia"/>
                <w:color w:val="auto"/>
                <w:vertAlign w:val="baseline"/>
                <w:lang w:val="en-US" w:eastAsia="zh-CN"/>
              </w:rPr>
            </w:pPr>
            <w:r>
              <w:rPr>
                <w:rFonts w:hint="eastAsia"/>
                <w:color w:val="auto"/>
                <w:vertAlign w:val="baseline"/>
                <w:lang w:val="en-US" w:eastAsia="zh-CN"/>
              </w:rPr>
              <w:t>11</w:t>
            </w:r>
          </w:p>
        </w:tc>
        <w:tc>
          <w:tcPr>
            <w:tcW w:w="1104" w:type="dxa"/>
            <w:vAlign w:val="center"/>
          </w:tcPr>
          <w:p w14:paraId="2937CD89">
            <w:pPr>
              <w:keepNext w:val="0"/>
              <w:keepLines w:val="0"/>
              <w:pageBreakBefore w:val="0"/>
              <w:widowControl/>
              <w:kinsoku/>
              <w:wordWrap/>
              <w:overflowPunct/>
              <w:topLinePunct w:val="0"/>
              <w:autoSpaceDE/>
              <w:autoSpaceDN/>
              <w:bidi w:val="0"/>
              <w:adjustRightInd/>
              <w:snapToGrid/>
              <w:spacing w:line="288" w:lineRule="auto"/>
              <w:jc w:val="center"/>
              <w:textAlignment w:val="auto"/>
              <w:rPr>
                <w:rFonts w:hint="eastAsia" w:ascii="宋体" w:hAnsi="宋体" w:eastAsia="宋体"/>
                <w:color w:val="auto"/>
                <w:lang w:val="en-US" w:eastAsia="zh-CN"/>
              </w:rPr>
            </w:pPr>
            <w:r>
              <w:rPr>
                <w:rFonts w:hint="eastAsia" w:ascii="宋体" w:hAnsi="宋体" w:eastAsia="宋体"/>
                <w:color w:val="auto"/>
                <w:lang w:val="en-US" w:eastAsia="zh-CN"/>
              </w:rPr>
              <w:t>整机</w:t>
            </w:r>
            <w:r>
              <w:rPr>
                <w:rFonts w:hint="eastAsia" w:ascii="宋体" w:hAnsi="宋体" w:eastAsia="宋体"/>
                <w:color w:val="auto"/>
              </w:rPr>
              <w:t>备份</w:t>
            </w:r>
            <w:r>
              <w:rPr>
                <w:rFonts w:hint="eastAsia" w:ascii="宋体" w:hAnsi="宋体" w:eastAsia="宋体"/>
                <w:color w:val="auto"/>
                <w:lang w:val="en-US" w:eastAsia="zh-CN"/>
              </w:rPr>
              <w:t>服务</w:t>
            </w:r>
          </w:p>
        </w:tc>
        <w:tc>
          <w:tcPr>
            <w:tcW w:w="5808" w:type="dxa"/>
            <w:vAlign w:val="center"/>
          </w:tcPr>
          <w:p w14:paraId="2027D025">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olor w:val="auto"/>
                <w:lang w:val="en-US" w:eastAsia="zh-CN"/>
              </w:rPr>
            </w:pPr>
            <w:r>
              <w:rPr>
                <w:rFonts w:hint="eastAsia" w:ascii="宋体" w:hAnsi="宋体" w:cs="宋体"/>
                <w:color w:val="auto"/>
                <w:lang w:val="en"/>
              </w:rPr>
              <w:t>▲</w:t>
            </w:r>
            <w:r>
              <w:rPr>
                <w:rFonts w:hint="eastAsia" w:ascii="宋体" w:hAnsi="宋体" w:eastAsia="宋体"/>
                <w:color w:val="auto"/>
                <w:lang w:val="en-US" w:eastAsia="zh-CN"/>
              </w:rPr>
              <w:t>支持基于卷级别的磁盘备份，对整个磁盘上数据进行，无需关注业务的版本，数据库的版本，支持包含操作系统，应用以及数据的整体备份。同时支持在虚拟化平台进行备份数据的快速提取验证</w:t>
            </w:r>
            <w:r>
              <w:rPr>
                <w:rFonts w:hint="eastAsia" w:ascii="宋体" w:hAnsi="宋体" w:eastAsia="宋体" w:cs="Times New Roman"/>
                <w:color w:val="auto"/>
                <w:lang w:val="en-US" w:eastAsia="zh-CN" w:bidi="zh-CN"/>
              </w:rPr>
              <w:t>（响应时须提供功能截图）</w:t>
            </w:r>
            <w:r>
              <w:rPr>
                <w:rFonts w:hint="eastAsia" w:ascii="宋体" w:hAnsi="宋体" w:eastAsia="宋体"/>
                <w:color w:val="auto"/>
                <w:lang w:val="en-US" w:eastAsia="zh-CN"/>
              </w:rPr>
              <w:t>。</w:t>
            </w:r>
          </w:p>
        </w:tc>
      </w:tr>
      <w:tr w14:paraId="7FACA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vMerge w:val="continue"/>
          </w:tcPr>
          <w:p w14:paraId="10A472E0">
            <w:pPr>
              <w:keepNext w:val="0"/>
              <w:keepLines w:val="0"/>
              <w:pageBreakBefore w:val="0"/>
              <w:kinsoku/>
              <w:wordWrap/>
              <w:overflowPunct/>
              <w:topLinePunct w:val="0"/>
              <w:autoSpaceDE/>
              <w:autoSpaceDN/>
              <w:bidi w:val="0"/>
              <w:adjustRightInd/>
              <w:snapToGrid/>
              <w:spacing w:line="288" w:lineRule="auto"/>
              <w:jc w:val="both"/>
              <w:textAlignment w:val="auto"/>
              <w:rPr>
                <w:color w:val="auto"/>
                <w:vertAlign w:val="baseline"/>
              </w:rPr>
            </w:pPr>
          </w:p>
        </w:tc>
        <w:tc>
          <w:tcPr>
            <w:tcW w:w="432" w:type="dxa"/>
          </w:tcPr>
          <w:p w14:paraId="2D6BB147">
            <w:pPr>
              <w:keepNext w:val="0"/>
              <w:keepLines w:val="0"/>
              <w:pageBreakBefore w:val="0"/>
              <w:kinsoku/>
              <w:wordWrap/>
              <w:overflowPunct/>
              <w:topLinePunct w:val="0"/>
              <w:autoSpaceDE/>
              <w:autoSpaceDN/>
              <w:bidi w:val="0"/>
              <w:adjustRightInd/>
              <w:snapToGrid/>
              <w:spacing w:line="288" w:lineRule="auto"/>
              <w:jc w:val="both"/>
              <w:textAlignment w:val="auto"/>
              <w:rPr>
                <w:rFonts w:hint="default" w:eastAsiaTheme="minorEastAsia"/>
                <w:color w:val="auto"/>
                <w:vertAlign w:val="baseline"/>
                <w:lang w:val="en-US" w:eastAsia="zh-CN"/>
              </w:rPr>
            </w:pPr>
            <w:r>
              <w:rPr>
                <w:rFonts w:hint="eastAsia"/>
                <w:color w:val="auto"/>
                <w:vertAlign w:val="baseline"/>
                <w:lang w:val="en-US" w:eastAsia="zh-CN"/>
              </w:rPr>
              <w:t>12</w:t>
            </w:r>
          </w:p>
        </w:tc>
        <w:tc>
          <w:tcPr>
            <w:tcW w:w="1104" w:type="dxa"/>
            <w:vAlign w:val="center"/>
          </w:tcPr>
          <w:p w14:paraId="37047648">
            <w:pPr>
              <w:keepNext w:val="0"/>
              <w:keepLines w:val="0"/>
              <w:pageBreakBefore w:val="0"/>
              <w:widowControl/>
              <w:kinsoku/>
              <w:wordWrap/>
              <w:overflowPunct/>
              <w:topLinePunct w:val="0"/>
              <w:autoSpaceDE/>
              <w:autoSpaceDN/>
              <w:bidi w:val="0"/>
              <w:adjustRightInd/>
              <w:snapToGrid/>
              <w:spacing w:line="288" w:lineRule="auto"/>
              <w:jc w:val="center"/>
              <w:textAlignment w:val="auto"/>
              <w:rPr>
                <w:rFonts w:hint="eastAsia" w:ascii="宋体" w:hAnsi="宋体" w:eastAsia="宋体"/>
                <w:color w:val="auto"/>
              </w:rPr>
            </w:pPr>
            <w:r>
              <w:rPr>
                <w:rFonts w:hint="eastAsia" w:ascii="宋体" w:hAnsi="宋体" w:eastAsia="宋体"/>
                <w:color w:val="auto"/>
              </w:rPr>
              <w:t>远程复制</w:t>
            </w:r>
          </w:p>
        </w:tc>
        <w:tc>
          <w:tcPr>
            <w:tcW w:w="5808" w:type="dxa"/>
            <w:vAlign w:val="center"/>
          </w:tcPr>
          <w:p w14:paraId="287EE516">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olor w:val="auto"/>
                <w:lang w:val="en-US" w:eastAsia="zh-CN"/>
              </w:rPr>
            </w:pPr>
            <w:r>
              <w:rPr>
                <w:rFonts w:hint="eastAsia" w:ascii="宋体" w:hAnsi="宋体" w:cs="宋体"/>
                <w:color w:val="auto"/>
                <w:lang w:val="en"/>
              </w:rPr>
              <w:t>▲</w:t>
            </w:r>
            <w:r>
              <w:rPr>
                <w:rFonts w:hint="eastAsia" w:ascii="宋体" w:hAnsi="宋体" w:eastAsia="宋体"/>
                <w:color w:val="auto"/>
                <w:lang w:val="en-US" w:eastAsia="zh-CN"/>
              </w:rPr>
              <w:t>支持Web页面配置容灾复制，备份系统可以在web界面配置容灾复制，通过精简带宽把数据复制至异地灾备中心备份系统上，并可以配置在灾备中心进行业务的容灾。支持A-&gt;B-&gt;C多个数据中心多级容灾复制，复制支持SM4，TLS/SSL等加密传输，保障数据私密性。</w:t>
            </w:r>
          </w:p>
        </w:tc>
      </w:tr>
      <w:tr w14:paraId="1D785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vMerge w:val="continue"/>
          </w:tcPr>
          <w:p w14:paraId="40F130F0">
            <w:pPr>
              <w:keepNext w:val="0"/>
              <w:keepLines w:val="0"/>
              <w:pageBreakBefore w:val="0"/>
              <w:kinsoku/>
              <w:wordWrap/>
              <w:overflowPunct/>
              <w:topLinePunct w:val="0"/>
              <w:autoSpaceDE/>
              <w:autoSpaceDN/>
              <w:bidi w:val="0"/>
              <w:adjustRightInd/>
              <w:snapToGrid/>
              <w:spacing w:line="288" w:lineRule="auto"/>
              <w:jc w:val="both"/>
              <w:textAlignment w:val="auto"/>
              <w:rPr>
                <w:color w:val="auto"/>
                <w:vertAlign w:val="baseline"/>
              </w:rPr>
            </w:pPr>
          </w:p>
        </w:tc>
        <w:tc>
          <w:tcPr>
            <w:tcW w:w="432" w:type="dxa"/>
          </w:tcPr>
          <w:p w14:paraId="31191218">
            <w:pPr>
              <w:keepNext w:val="0"/>
              <w:keepLines w:val="0"/>
              <w:pageBreakBefore w:val="0"/>
              <w:kinsoku/>
              <w:wordWrap/>
              <w:overflowPunct/>
              <w:topLinePunct w:val="0"/>
              <w:autoSpaceDE/>
              <w:autoSpaceDN/>
              <w:bidi w:val="0"/>
              <w:adjustRightInd/>
              <w:snapToGrid/>
              <w:spacing w:line="288" w:lineRule="auto"/>
              <w:jc w:val="both"/>
              <w:textAlignment w:val="auto"/>
              <w:rPr>
                <w:rFonts w:hint="default" w:eastAsiaTheme="minorEastAsia"/>
                <w:color w:val="auto"/>
                <w:vertAlign w:val="baseline"/>
                <w:lang w:val="en-US" w:eastAsia="zh-CN"/>
              </w:rPr>
            </w:pPr>
            <w:r>
              <w:rPr>
                <w:rFonts w:hint="eastAsia"/>
                <w:color w:val="auto"/>
                <w:vertAlign w:val="baseline"/>
                <w:lang w:val="en-US" w:eastAsia="zh-CN"/>
              </w:rPr>
              <w:t>13</w:t>
            </w:r>
          </w:p>
        </w:tc>
        <w:tc>
          <w:tcPr>
            <w:tcW w:w="1104" w:type="dxa"/>
            <w:vAlign w:val="center"/>
          </w:tcPr>
          <w:p w14:paraId="2BDE7276">
            <w:pPr>
              <w:keepNext w:val="0"/>
              <w:keepLines w:val="0"/>
              <w:pageBreakBefore w:val="0"/>
              <w:widowControl/>
              <w:kinsoku/>
              <w:wordWrap/>
              <w:overflowPunct/>
              <w:topLinePunct w:val="0"/>
              <w:autoSpaceDE/>
              <w:autoSpaceDN/>
              <w:bidi w:val="0"/>
              <w:adjustRightInd/>
              <w:snapToGrid/>
              <w:spacing w:line="288" w:lineRule="auto"/>
              <w:jc w:val="center"/>
              <w:textAlignment w:val="auto"/>
              <w:rPr>
                <w:rFonts w:hint="eastAsia" w:ascii="宋体" w:hAnsi="宋体" w:eastAsia="宋体"/>
                <w:color w:val="auto"/>
              </w:rPr>
            </w:pPr>
            <w:r>
              <w:rPr>
                <w:rFonts w:hint="eastAsia" w:ascii="宋体" w:hAnsi="宋体" w:eastAsia="宋体"/>
                <w:color w:val="auto"/>
              </w:rPr>
              <w:t>底层重删</w:t>
            </w:r>
          </w:p>
        </w:tc>
        <w:tc>
          <w:tcPr>
            <w:tcW w:w="5808" w:type="dxa"/>
            <w:vAlign w:val="center"/>
          </w:tcPr>
          <w:p w14:paraId="74B28057">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olor w:val="auto"/>
                <w:lang w:val="en-US" w:eastAsia="zh-CN"/>
              </w:rPr>
            </w:pPr>
            <w:r>
              <w:rPr>
                <w:rFonts w:hint="eastAsia" w:ascii="宋体" w:hAnsi="宋体" w:eastAsia="宋体"/>
                <w:color w:val="auto"/>
                <w:lang w:val="en-US" w:eastAsia="zh-CN"/>
              </w:rPr>
              <w:t>基于底层文件系统的重删技术，在底层文件系统层面进行文件指纹记录对重复文件进行重删，提高重删率，提高存储空间使用率。</w:t>
            </w:r>
          </w:p>
        </w:tc>
      </w:tr>
      <w:tr w14:paraId="394CF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vMerge w:val="continue"/>
          </w:tcPr>
          <w:p w14:paraId="49C524DD">
            <w:pPr>
              <w:keepNext w:val="0"/>
              <w:keepLines w:val="0"/>
              <w:pageBreakBefore w:val="0"/>
              <w:kinsoku/>
              <w:wordWrap/>
              <w:overflowPunct/>
              <w:topLinePunct w:val="0"/>
              <w:autoSpaceDE/>
              <w:autoSpaceDN/>
              <w:bidi w:val="0"/>
              <w:adjustRightInd/>
              <w:snapToGrid/>
              <w:spacing w:line="288" w:lineRule="auto"/>
              <w:jc w:val="both"/>
              <w:textAlignment w:val="auto"/>
              <w:rPr>
                <w:color w:val="auto"/>
                <w:vertAlign w:val="baseline"/>
              </w:rPr>
            </w:pPr>
          </w:p>
        </w:tc>
        <w:tc>
          <w:tcPr>
            <w:tcW w:w="432" w:type="dxa"/>
          </w:tcPr>
          <w:p w14:paraId="7454CD10">
            <w:pPr>
              <w:keepNext w:val="0"/>
              <w:keepLines w:val="0"/>
              <w:pageBreakBefore w:val="0"/>
              <w:kinsoku/>
              <w:wordWrap/>
              <w:overflowPunct/>
              <w:topLinePunct w:val="0"/>
              <w:autoSpaceDE/>
              <w:autoSpaceDN/>
              <w:bidi w:val="0"/>
              <w:adjustRightInd/>
              <w:snapToGrid/>
              <w:spacing w:line="288" w:lineRule="auto"/>
              <w:jc w:val="both"/>
              <w:textAlignment w:val="auto"/>
              <w:rPr>
                <w:rFonts w:hint="default"/>
                <w:color w:val="auto"/>
                <w:vertAlign w:val="baseline"/>
                <w:lang w:val="en-US" w:eastAsia="zh-CN"/>
              </w:rPr>
            </w:pPr>
            <w:r>
              <w:rPr>
                <w:rFonts w:hint="eastAsia"/>
                <w:color w:val="auto"/>
                <w:vertAlign w:val="baseline"/>
                <w:lang w:val="en-US" w:eastAsia="zh-CN"/>
              </w:rPr>
              <w:t>14</w:t>
            </w:r>
          </w:p>
        </w:tc>
        <w:tc>
          <w:tcPr>
            <w:tcW w:w="1104" w:type="dxa"/>
            <w:vAlign w:val="center"/>
          </w:tcPr>
          <w:p w14:paraId="057ACF15">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olor w:val="auto"/>
                <w:lang w:val="en-US" w:eastAsia="zh-CN"/>
              </w:rPr>
            </w:pPr>
            <w:r>
              <w:rPr>
                <w:rFonts w:hint="eastAsia" w:ascii="宋体" w:hAnsi="宋体" w:eastAsia="宋体"/>
                <w:color w:val="auto"/>
                <w:lang w:val="en-US" w:eastAsia="zh-CN"/>
              </w:rPr>
              <w:t>多历史点快照</w:t>
            </w:r>
          </w:p>
        </w:tc>
        <w:tc>
          <w:tcPr>
            <w:tcW w:w="5808" w:type="dxa"/>
            <w:vAlign w:val="center"/>
          </w:tcPr>
          <w:p w14:paraId="257E7CF3">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default" w:ascii="宋体" w:hAnsi="宋体" w:eastAsia="宋体"/>
                <w:color w:val="auto"/>
                <w:lang w:val="en-US" w:eastAsia="zh-CN"/>
              </w:rPr>
            </w:pPr>
            <w:r>
              <w:rPr>
                <w:rFonts w:hint="eastAsia" w:ascii="宋体" w:hAnsi="宋体" w:cs="宋体"/>
                <w:color w:val="auto"/>
                <w:lang w:val="en"/>
              </w:rPr>
              <w:t>▲</w:t>
            </w:r>
            <w:r>
              <w:rPr>
                <w:rFonts w:hint="eastAsia" w:ascii="宋体" w:hAnsi="宋体" w:eastAsia="宋体"/>
                <w:color w:val="auto"/>
                <w:lang w:val="en-US" w:eastAsia="zh-CN"/>
              </w:rPr>
              <w:t>支持多点永久增量快照技术，以提供多历史时间点的快速恢复能力。具备单LUN不少于1000个快照能力，支持2000个以上的LUN同时开启快照功能，快照副本支持多份在线即时验证、查询、修改等</w:t>
            </w:r>
            <w:r>
              <w:rPr>
                <w:rFonts w:hint="eastAsia" w:ascii="宋体" w:hAnsi="宋体" w:eastAsia="宋体" w:cs="Times New Roman"/>
                <w:color w:val="auto"/>
                <w:lang w:val="en-US" w:eastAsia="zh-CN" w:bidi="zh-CN"/>
              </w:rPr>
              <w:t>（提供功能截图）</w:t>
            </w:r>
            <w:r>
              <w:rPr>
                <w:rFonts w:hint="eastAsia" w:ascii="宋体" w:hAnsi="宋体" w:eastAsia="宋体"/>
                <w:color w:val="auto"/>
                <w:lang w:val="en-US" w:eastAsia="zh-CN"/>
              </w:rPr>
              <w:t>。</w:t>
            </w:r>
          </w:p>
        </w:tc>
      </w:tr>
      <w:tr w14:paraId="6FB10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vMerge w:val="continue"/>
          </w:tcPr>
          <w:p w14:paraId="1ED31B72">
            <w:pPr>
              <w:keepNext w:val="0"/>
              <w:keepLines w:val="0"/>
              <w:pageBreakBefore w:val="0"/>
              <w:kinsoku/>
              <w:wordWrap/>
              <w:overflowPunct/>
              <w:topLinePunct w:val="0"/>
              <w:autoSpaceDE/>
              <w:autoSpaceDN/>
              <w:bidi w:val="0"/>
              <w:adjustRightInd/>
              <w:snapToGrid/>
              <w:spacing w:line="288" w:lineRule="auto"/>
              <w:jc w:val="both"/>
              <w:textAlignment w:val="auto"/>
              <w:rPr>
                <w:color w:val="auto"/>
                <w:vertAlign w:val="baseline"/>
              </w:rPr>
            </w:pPr>
          </w:p>
        </w:tc>
        <w:tc>
          <w:tcPr>
            <w:tcW w:w="432" w:type="dxa"/>
          </w:tcPr>
          <w:p w14:paraId="71048F57">
            <w:pPr>
              <w:keepNext w:val="0"/>
              <w:keepLines w:val="0"/>
              <w:pageBreakBefore w:val="0"/>
              <w:kinsoku/>
              <w:wordWrap/>
              <w:overflowPunct/>
              <w:topLinePunct w:val="0"/>
              <w:autoSpaceDE/>
              <w:autoSpaceDN/>
              <w:bidi w:val="0"/>
              <w:adjustRightInd/>
              <w:snapToGrid/>
              <w:spacing w:line="288" w:lineRule="auto"/>
              <w:jc w:val="both"/>
              <w:textAlignment w:val="auto"/>
              <w:rPr>
                <w:rFonts w:hint="default"/>
                <w:color w:val="auto"/>
                <w:vertAlign w:val="baseline"/>
                <w:lang w:val="en-US" w:eastAsia="zh-CN"/>
              </w:rPr>
            </w:pPr>
            <w:r>
              <w:rPr>
                <w:rFonts w:hint="eastAsia"/>
                <w:color w:val="auto"/>
                <w:vertAlign w:val="baseline"/>
                <w:lang w:val="en-US" w:eastAsia="zh-CN"/>
              </w:rPr>
              <w:t>15</w:t>
            </w:r>
          </w:p>
        </w:tc>
        <w:tc>
          <w:tcPr>
            <w:tcW w:w="1104" w:type="dxa"/>
            <w:vAlign w:val="center"/>
          </w:tcPr>
          <w:p w14:paraId="085AC502">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default" w:ascii="宋体" w:hAnsi="宋体" w:eastAsia="宋体"/>
                <w:color w:val="auto"/>
                <w:lang w:val="en-US" w:eastAsia="zh-CN"/>
              </w:rPr>
            </w:pPr>
            <w:r>
              <w:rPr>
                <w:rFonts w:hint="eastAsia" w:ascii="宋体" w:hAnsi="宋体" w:eastAsia="宋体"/>
                <w:color w:val="auto"/>
                <w:lang w:val="en-US" w:eastAsia="zh-CN"/>
              </w:rPr>
              <w:t>应急接管</w:t>
            </w:r>
          </w:p>
        </w:tc>
        <w:tc>
          <w:tcPr>
            <w:tcW w:w="5808" w:type="dxa"/>
            <w:vAlign w:val="center"/>
          </w:tcPr>
          <w:p w14:paraId="6B83ACE5">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olor w:val="auto"/>
                <w:lang w:val="en-US" w:eastAsia="zh-CN"/>
              </w:rPr>
            </w:pPr>
            <w:r>
              <w:rPr>
                <w:rFonts w:hint="eastAsia" w:ascii="宋体" w:hAnsi="宋体" w:cs="宋体"/>
                <w:color w:val="auto"/>
                <w:lang w:val="en"/>
              </w:rPr>
              <w:t>▲</w:t>
            </w:r>
            <w:r>
              <w:rPr>
                <w:rFonts w:hint="eastAsia" w:ascii="宋体" w:hAnsi="宋体" w:cs="宋体"/>
                <w:color w:val="auto"/>
                <w:lang w:val="en-US" w:eastAsia="zh-CN"/>
              </w:rPr>
              <w:t>支持</w:t>
            </w:r>
            <w:r>
              <w:rPr>
                <w:rFonts w:hint="eastAsia" w:ascii="宋体" w:hAnsi="宋体" w:eastAsia="宋体"/>
                <w:color w:val="auto"/>
                <w:lang w:val="en-US" w:eastAsia="zh-CN"/>
              </w:rPr>
              <w:t>基于磁盘块的CDP持续数据保护，恢复精细度达到百万分之一秒，支持实现系统和数据的快速恢复以及应急接管及自动归档管理，支持归档到光盘库、光盘塔、磁带库等介质</w:t>
            </w:r>
            <w:r>
              <w:rPr>
                <w:rFonts w:hint="eastAsia" w:ascii="宋体" w:hAnsi="宋体" w:eastAsia="宋体" w:cs="Times New Roman"/>
                <w:color w:val="auto"/>
                <w:lang w:val="en-US" w:eastAsia="zh-CN" w:bidi="zh-CN"/>
              </w:rPr>
              <w:t>（提供功能截图）</w:t>
            </w:r>
            <w:r>
              <w:rPr>
                <w:rFonts w:hint="eastAsia" w:ascii="宋体" w:hAnsi="宋体" w:eastAsia="宋体"/>
                <w:color w:val="auto"/>
                <w:lang w:val="en-US" w:eastAsia="zh-CN"/>
              </w:rPr>
              <w:t>；</w:t>
            </w:r>
          </w:p>
          <w:p w14:paraId="53D59C49">
            <w:pPr>
              <w:keepNext w:val="0"/>
              <w:keepLines w:val="0"/>
              <w:pageBreakBefore w:val="0"/>
              <w:widowControl/>
              <w:suppressLineNumbers w:val="0"/>
              <w:kinsoku/>
              <w:wordWrap/>
              <w:overflowPunct/>
              <w:topLinePunct w:val="0"/>
              <w:autoSpaceDE/>
              <w:autoSpaceDN/>
              <w:bidi w:val="0"/>
              <w:adjustRightInd/>
              <w:snapToGrid/>
              <w:spacing w:line="288" w:lineRule="auto"/>
              <w:ind w:firstLine="420" w:firstLineChars="200"/>
              <w:jc w:val="left"/>
              <w:textAlignment w:val="auto"/>
              <w:rPr>
                <w:rFonts w:hint="eastAsia" w:ascii="宋体" w:hAnsi="宋体" w:eastAsia="宋体"/>
                <w:color w:val="auto"/>
                <w:lang w:val="en-US" w:eastAsia="zh-CN"/>
              </w:rPr>
            </w:pPr>
            <w:r>
              <w:rPr>
                <w:rFonts w:hint="eastAsia" w:ascii="宋体" w:hAnsi="宋体" w:eastAsia="宋体"/>
                <w:color w:val="auto"/>
                <w:lang w:val="en-US" w:eastAsia="zh-CN"/>
              </w:rPr>
              <w:t>支持windows和Linux环境的一键式自动应急接管，支持操作系统和业务应用程序一键式P2V、V2V自动应急接管；</w:t>
            </w:r>
          </w:p>
        </w:tc>
      </w:tr>
      <w:tr w14:paraId="5953B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vMerge w:val="continue"/>
          </w:tcPr>
          <w:p w14:paraId="3601D4F9">
            <w:pPr>
              <w:keepNext w:val="0"/>
              <w:keepLines w:val="0"/>
              <w:pageBreakBefore w:val="0"/>
              <w:kinsoku/>
              <w:wordWrap/>
              <w:overflowPunct/>
              <w:topLinePunct w:val="0"/>
              <w:autoSpaceDE/>
              <w:autoSpaceDN/>
              <w:bidi w:val="0"/>
              <w:adjustRightInd/>
              <w:snapToGrid/>
              <w:spacing w:line="288" w:lineRule="auto"/>
              <w:jc w:val="both"/>
              <w:textAlignment w:val="auto"/>
              <w:rPr>
                <w:color w:val="auto"/>
                <w:vertAlign w:val="baseline"/>
              </w:rPr>
            </w:pPr>
          </w:p>
        </w:tc>
        <w:tc>
          <w:tcPr>
            <w:tcW w:w="432" w:type="dxa"/>
          </w:tcPr>
          <w:p w14:paraId="648F0B1B">
            <w:pPr>
              <w:keepNext w:val="0"/>
              <w:keepLines w:val="0"/>
              <w:pageBreakBefore w:val="0"/>
              <w:kinsoku/>
              <w:wordWrap/>
              <w:overflowPunct/>
              <w:topLinePunct w:val="0"/>
              <w:autoSpaceDE/>
              <w:autoSpaceDN/>
              <w:bidi w:val="0"/>
              <w:adjustRightInd/>
              <w:snapToGrid/>
              <w:spacing w:line="288" w:lineRule="auto"/>
              <w:jc w:val="both"/>
              <w:textAlignment w:val="auto"/>
              <w:rPr>
                <w:rFonts w:hint="default"/>
                <w:color w:val="auto"/>
                <w:vertAlign w:val="baseline"/>
                <w:lang w:val="en-US" w:eastAsia="zh-CN"/>
              </w:rPr>
            </w:pPr>
            <w:r>
              <w:rPr>
                <w:rFonts w:hint="eastAsia"/>
                <w:color w:val="auto"/>
                <w:vertAlign w:val="baseline"/>
                <w:lang w:val="en-US" w:eastAsia="zh-CN"/>
              </w:rPr>
              <w:t>16</w:t>
            </w:r>
          </w:p>
        </w:tc>
        <w:tc>
          <w:tcPr>
            <w:tcW w:w="1104" w:type="dxa"/>
            <w:vAlign w:val="center"/>
          </w:tcPr>
          <w:p w14:paraId="117D91A8">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olor w:val="auto"/>
                <w:lang w:val="en-US" w:eastAsia="zh-CN"/>
              </w:rPr>
            </w:pPr>
            <w:r>
              <w:rPr>
                <w:rFonts w:hint="eastAsia" w:ascii="宋体" w:hAnsi="宋体" w:eastAsia="宋体"/>
                <w:color w:val="auto"/>
                <w:lang w:val="en-US" w:eastAsia="zh-CN"/>
              </w:rPr>
              <w:t>演练服务</w:t>
            </w:r>
          </w:p>
        </w:tc>
        <w:tc>
          <w:tcPr>
            <w:tcW w:w="5808" w:type="dxa"/>
            <w:vAlign w:val="center"/>
          </w:tcPr>
          <w:p w14:paraId="5920FD23">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olor w:val="auto"/>
                <w:lang w:val="en-US" w:eastAsia="zh-CN"/>
              </w:rPr>
            </w:pPr>
            <w:r>
              <w:rPr>
                <w:rFonts w:hint="eastAsia" w:ascii="宋体" w:hAnsi="宋体" w:cs="宋体"/>
                <w:color w:val="auto"/>
                <w:lang w:val="en"/>
              </w:rPr>
              <w:t>▲</w:t>
            </w:r>
            <w:r>
              <w:rPr>
                <w:rFonts w:hint="eastAsia" w:ascii="宋体" w:hAnsi="宋体" w:eastAsia="宋体"/>
                <w:color w:val="auto"/>
                <w:lang w:val="en-US" w:eastAsia="zh-CN"/>
              </w:rPr>
              <w:t>容灾备份系统支持在线演练功能，演练的同时本地系统保护不能中断，提供多历史点数据同时进行检验；验证本地录像历史数据的查验动作对生产系统不产生任何影响；支持提取异地灾备中心的数据在本地数据中心进行容灾演练，减少灾备中心的资源投入</w:t>
            </w:r>
            <w:r>
              <w:rPr>
                <w:rFonts w:hint="eastAsia" w:ascii="宋体" w:hAnsi="宋体" w:eastAsia="宋体" w:cs="Times New Roman"/>
                <w:color w:val="auto"/>
                <w:lang w:val="en-US" w:eastAsia="zh-CN" w:bidi="zh-CN"/>
              </w:rPr>
              <w:t>（提供功能截图）</w:t>
            </w:r>
            <w:r>
              <w:rPr>
                <w:rFonts w:hint="eastAsia" w:ascii="宋体" w:hAnsi="宋体" w:eastAsia="宋体"/>
                <w:color w:val="auto"/>
                <w:lang w:val="en-US" w:eastAsia="zh-CN"/>
              </w:rPr>
              <w:t>；</w:t>
            </w:r>
          </w:p>
          <w:p w14:paraId="3D4A5B81">
            <w:pPr>
              <w:keepNext w:val="0"/>
              <w:keepLines w:val="0"/>
              <w:pageBreakBefore w:val="0"/>
              <w:widowControl/>
              <w:suppressLineNumbers w:val="0"/>
              <w:kinsoku/>
              <w:wordWrap/>
              <w:overflowPunct/>
              <w:topLinePunct w:val="0"/>
              <w:autoSpaceDE/>
              <w:autoSpaceDN/>
              <w:bidi w:val="0"/>
              <w:adjustRightInd/>
              <w:snapToGrid/>
              <w:spacing w:line="288" w:lineRule="auto"/>
              <w:ind w:firstLine="420" w:firstLineChars="200"/>
              <w:jc w:val="left"/>
              <w:textAlignment w:val="auto"/>
              <w:rPr>
                <w:rFonts w:hint="eastAsia" w:ascii="宋体" w:hAnsi="宋体" w:eastAsia="宋体"/>
                <w:color w:val="auto"/>
                <w:lang w:val="en-US" w:eastAsia="zh-CN"/>
              </w:rPr>
            </w:pPr>
            <w:r>
              <w:rPr>
                <w:rFonts w:hint="eastAsia" w:ascii="宋体" w:hAnsi="宋体" w:eastAsia="宋体"/>
                <w:color w:val="auto"/>
                <w:lang w:val="en-US" w:eastAsia="zh-CN"/>
              </w:rPr>
              <w:t>容灾备份系统可以在演练完成后，自动进行资源释放，清除演练痕迹，只保留演练记录，记录演练结果。</w:t>
            </w:r>
          </w:p>
        </w:tc>
      </w:tr>
      <w:tr w14:paraId="54681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14:paraId="7E25D271">
            <w:pPr>
              <w:keepNext w:val="0"/>
              <w:keepLines w:val="0"/>
              <w:pageBreakBefore w:val="0"/>
              <w:widowControl/>
              <w:kinsoku/>
              <w:wordWrap/>
              <w:overflowPunct/>
              <w:topLinePunct w:val="0"/>
              <w:autoSpaceDE/>
              <w:autoSpaceDN/>
              <w:bidi w:val="0"/>
              <w:adjustRightInd/>
              <w:snapToGrid/>
              <w:spacing w:line="288" w:lineRule="auto"/>
              <w:jc w:val="center"/>
              <w:textAlignment w:val="auto"/>
              <w:rPr>
                <w:rFonts w:hint="eastAsia" w:ascii="宋体" w:hAnsi="宋体" w:eastAsia="宋体"/>
                <w:color w:val="auto"/>
                <w:lang w:val="en-US" w:eastAsia="zh-CN"/>
              </w:rPr>
            </w:pPr>
            <w:r>
              <w:rPr>
                <w:rFonts w:hint="eastAsia" w:ascii="宋体" w:hAnsi="宋体" w:eastAsia="宋体"/>
                <w:color w:val="auto"/>
                <w:lang w:val="en-US" w:eastAsia="zh-CN"/>
              </w:rPr>
              <w:t>灾备赋能与售后支持服务技术要求</w:t>
            </w:r>
          </w:p>
        </w:tc>
        <w:tc>
          <w:tcPr>
            <w:tcW w:w="1536" w:type="dxa"/>
            <w:gridSpan w:val="2"/>
          </w:tcPr>
          <w:p w14:paraId="6D5A9E3B">
            <w:pPr>
              <w:keepNext w:val="0"/>
              <w:keepLines w:val="0"/>
              <w:pageBreakBefore w:val="0"/>
              <w:widowControl/>
              <w:tabs>
                <w:tab w:val="left" w:pos="420"/>
              </w:tabs>
              <w:kinsoku/>
              <w:wordWrap/>
              <w:overflowPunct/>
              <w:topLinePunct w:val="0"/>
              <w:autoSpaceDE/>
              <w:autoSpaceDN/>
              <w:bidi w:val="0"/>
              <w:adjustRightInd/>
              <w:snapToGrid/>
              <w:spacing w:line="288" w:lineRule="auto"/>
              <w:ind w:firstLine="420" w:firstLineChars="200"/>
              <w:textAlignment w:val="auto"/>
              <w:rPr>
                <w:rFonts w:hint="default" w:ascii="宋体" w:hAnsi="宋体" w:eastAsia="宋体"/>
                <w:color w:val="auto"/>
                <w:lang w:val="en-US" w:eastAsia="zh-CN"/>
              </w:rPr>
            </w:pPr>
            <w:r>
              <w:rPr>
                <w:rFonts w:hint="eastAsia" w:ascii="宋体" w:hAnsi="宋体" w:eastAsia="宋体"/>
                <w:color w:val="auto"/>
                <w:lang w:val="en-US" w:eastAsia="zh-CN"/>
              </w:rPr>
              <w:t>赋能服务</w:t>
            </w:r>
          </w:p>
        </w:tc>
        <w:tc>
          <w:tcPr>
            <w:tcW w:w="5808" w:type="dxa"/>
            <w:vAlign w:val="center"/>
          </w:tcPr>
          <w:p w14:paraId="63016461">
            <w:pPr>
              <w:keepNext w:val="0"/>
              <w:keepLines w:val="0"/>
              <w:pageBreakBefore w:val="0"/>
              <w:widowControl/>
              <w:suppressLineNumbers w:val="0"/>
              <w:kinsoku/>
              <w:wordWrap/>
              <w:overflowPunct/>
              <w:topLinePunct w:val="0"/>
              <w:autoSpaceDE/>
              <w:autoSpaceDN/>
              <w:bidi w:val="0"/>
              <w:adjustRightInd/>
              <w:snapToGrid/>
              <w:spacing w:line="288" w:lineRule="auto"/>
              <w:ind w:firstLine="420" w:firstLineChars="200"/>
              <w:jc w:val="left"/>
              <w:textAlignment w:val="auto"/>
              <w:rPr>
                <w:rFonts w:hint="eastAsia" w:ascii="宋体" w:hAnsi="宋体" w:eastAsia="宋体"/>
                <w:color w:val="auto"/>
                <w:lang w:val="en-US" w:eastAsia="zh-CN"/>
              </w:rPr>
            </w:pPr>
            <w:r>
              <w:rPr>
                <w:rFonts w:hint="eastAsia" w:ascii="宋体" w:hAnsi="宋体" w:eastAsia="宋体"/>
                <w:color w:val="auto"/>
                <w:lang w:val="en-US" w:eastAsia="zh-CN"/>
              </w:rPr>
              <w:t>提供南宁本地灾备学术/专家团队交流研讨会机会至少一次，现场技术培训至少一次，并提供一次行业最新灾备项目知识培训；技能培训包括容灾知识培训、技术方案培训、容灾管理系统使用培训、业务连续性管理、预案培训、演练等相关培训等。响应时须出具详细方案计划及相关师资证明。</w:t>
            </w:r>
          </w:p>
          <w:p w14:paraId="673A5F44">
            <w:pPr>
              <w:keepNext w:val="0"/>
              <w:keepLines w:val="0"/>
              <w:pageBreakBefore w:val="0"/>
              <w:widowControl/>
              <w:suppressLineNumbers w:val="0"/>
              <w:kinsoku/>
              <w:wordWrap/>
              <w:overflowPunct/>
              <w:topLinePunct w:val="0"/>
              <w:autoSpaceDE/>
              <w:autoSpaceDN/>
              <w:bidi w:val="0"/>
              <w:adjustRightInd/>
              <w:snapToGrid/>
              <w:spacing w:line="288" w:lineRule="auto"/>
              <w:ind w:firstLine="420" w:firstLineChars="200"/>
              <w:jc w:val="left"/>
              <w:textAlignment w:val="auto"/>
              <w:rPr>
                <w:rFonts w:hint="eastAsia" w:ascii="宋体" w:hAnsi="宋体" w:eastAsia="宋体" w:cs="Times New Roman"/>
                <w:color w:val="auto"/>
                <w:lang w:val="en-US" w:eastAsia="zh-CN" w:bidi="zh-CN"/>
              </w:rPr>
            </w:pPr>
            <w:r>
              <w:rPr>
                <w:rFonts w:hint="eastAsia" w:ascii="宋体" w:hAnsi="宋体" w:eastAsia="宋体" w:cs="Times New Roman"/>
                <w:color w:val="auto"/>
                <w:lang w:val="en-US" w:eastAsia="zh-CN" w:bidi="zh-CN"/>
              </w:rPr>
              <w:t>为保证工程实施质量，成交供应商后需要对以上重要功能点进行验证，同时所提供灾备系统需要在广西大数据局通过信创测评，已通过测评的产品请中标后提供相关证明资料。</w:t>
            </w:r>
          </w:p>
          <w:p w14:paraId="321A39BA">
            <w:pPr>
              <w:keepNext w:val="0"/>
              <w:keepLines w:val="0"/>
              <w:pageBreakBefore w:val="0"/>
              <w:widowControl/>
              <w:suppressLineNumbers w:val="0"/>
              <w:kinsoku/>
              <w:wordWrap/>
              <w:overflowPunct/>
              <w:topLinePunct w:val="0"/>
              <w:autoSpaceDE/>
              <w:autoSpaceDN/>
              <w:bidi w:val="0"/>
              <w:adjustRightInd/>
              <w:snapToGrid/>
              <w:spacing w:line="288" w:lineRule="auto"/>
              <w:ind w:firstLine="420" w:firstLineChars="200"/>
              <w:jc w:val="left"/>
              <w:textAlignment w:val="auto"/>
              <w:rPr>
                <w:rFonts w:hint="default" w:ascii="宋体" w:hAnsi="宋体" w:eastAsia="宋体" w:cs="Times New Roman"/>
                <w:color w:val="auto"/>
                <w:lang w:val="en-US" w:eastAsia="zh-CN" w:bidi="zh-CN"/>
              </w:rPr>
            </w:pPr>
            <w:r>
              <w:rPr>
                <w:rFonts w:hint="eastAsia" w:ascii="宋体" w:hAnsi="宋体" w:eastAsia="宋体" w:cs="Times New Roman"/>
                <w:color w:val="auto"/>
                <w:lang w:val="en-US" w:eastAsia="zh-CN" w:bidi="zh-CN"/>
              </w:rPr>
              <w:t>提供完整售后运维管理及巡检方案，须提供紧急备机备件本地支持并在响应时提供相关证明承诺。</w:t>
            </w:r>
          </w:p>
        </w:tc>
      </w:tr>
      <w:tr w14:paraId="78713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96" w:type="dxa"/>
          </w:tcPr>
          <w:p w14:paraId="35678718">
            <w:pPr>
              <w:widowControl/>
              <w:jc w:val="center"/>
              <w:rPr>
                <w:rFonts w:hint="eastAsia" w:ascii="宋体" w:hAnsi="宋体" w:eastAsia="宋体"/>
                <w:color w:val="auto"/>
                <w:lang w:val="en-US" w:eastAsia="zh-CN"/>
              </w:rPr>
            </w:pPr>
            <w:r>
              <w:rPr>
                <w:rFonts w:hint="eastAsia" w:ascii="宋体" w:hAnsi="宋体" w:eastAsia="宋体"/>
                <w:color w:val="auto"/>
                <w:lang w:val="en-US" w:eastAsia="zh-CN"/>
              </w:rPr>
              <w:t>灾备专线技术要求</w:t>
            </w:r>
          </w:p>
        </w:tc>
        <w:tc>
          <w:tcPr>
            <w:tcW w:w="1536" w:type="dxa"/>
            <w:gridSpan w:val="2"/>
          </w:tcPr>
          <w:p w14:paraId="5BC9E99E">
            <w:pPr>
              <w:widowControl/>
              <w:jc w:val="center"/>
              <w:rPr>
                <w:rFonts w:hint="default" w:ascii="宋体" w:hAnsi="宋体" w:eastAsia="宋体"/>
                <w:color w:val="auto"/>
                <w:lang w:val="en-US" w:eastAsia="zh-CN"/>
              </w:rPr>
            </w:pPr>
            <w:r>
              <w:rPr>
                <w:rFonts w:hint="eastAsia" w:ascii="宋体" w:hAnsi="宋体" w:eastAsia="宋体"/>
                <w:color w:val="auto"/>
                <w:lang w:val="en-US" w:eastAsia="zh-CN"/>
              </w:rPr>
              <w:t>网络资源租用服务</w:t>
            </w:r>
          </w:p>
        </w:tc>
        <w:tc>
          <w:tcPr>
            <w:tcW w:w="5808" w:type="dxa"/>
            <w:vAlign w:val="center"/>
          </w:tcPr>
          <w:p w14:paraId="65D27E55">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olor w:val="auto"/>
                <w:lang w:val="en-US" w:eastAsia="zh-CN"/>
              </w:rPr>
            </w:pPr>
            <w:r>
              <w:rPr>
                <w:rFonts w:hint="eastAsia" w:ascii="宋体" w:hAnsi="宋体" w:eastAsia="宋体"/>
                <w:color w:val="auto"/>
                <w:lang w:val="en-US" w:eastAsia="zh-CN"/>
              </w:rPr>
              <w:t>1、专线规格：提供上下行对称100M点对点裸专线，物理链路独立隔离，不与互联网、院内办公网共用通道。</w:t>
            </w:r>
          </w:p>
          <w:p w14:paraId="498FFAEA">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olor w:val="auto"/>
                <w:lang w:val="en-US" w:eastAsia="zh-CN"/>
              </w:rPr>
            </w:pPr>
            <w:r>
              <w:rPr>
                <w:rFonts w:hint="eastAsia" w:ascii="宋体" w:hAnsi="宋体" w:eastAsia="宋体"/>
                <w:color w:val="auto"/>
                <w:lang w:val="en-US" w:eastAsia="zh-CN"/>
              </w:rPr>
              <w:t>2、链路拓扑：一端接入医院机房，一端接入灾备机房，点对点直连。</w:t>
            </w:r>
          </w:p>
          <w:p w14:paraId="02A8DE49">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olor w:val="auto"/>
                <w:lang w:val="en-US" w:eastAsia="zh-CN"/>
              </w:rPr>
            </w:pPr>
            <w:r>
              <w:rPr>
                <w:rFonts w:hint="eastAsia" w:ascii="宋体" w:hAnsi="宋体" w:eastAsia="宋体"/>
                <w:color w:val="auto"/>
                <w:lang w:val="en-US" w:eastAsia="zh-CN"/>
              </w:rPr>
              <w:t>3、线路质量指标：端到端时延≤5ms，长期丢包率≤0.1%，全年链路可用率≥99.9%。</w:t>
            </w:r>
          </w:p>
          <w:p w14:paraId="401D463F">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olor w:val="auto"/>
                <w:lang w:val="en-US" w:eastAsia="zh-CN"/>
              </w:rPr>
            </w:pPr>
            <w:r>
              <w:rPr>
                <w:rFonts w:hint="eastAsia" w:ascii="宋体" w:hAnsi="宋体" w:eastAsia="宋体"/>
                <w:color w:val="auto"/>
                <w:lang w:val="en-US" w:eastAsia="zh-CN"/>
              </w:rPr>
              <w:t>4、链路保障：配套主备路由切换机制，链路故障自动切换，切换时长≤30秒，保障异地复制不长期中断。</w:t>
            </w:r>
          </w:p>
        </w:tc>
      </w:tr>
      <w:tr w14:paraId="72428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996" w:type="dxa"/>
          </w:tcPr>
          <w:p w14:paraId="047C90CE">
            <w:pPr>
              <w:widowControl/>
              <w:jc w:val="center"/>
              <w:rPr>
                <w:rFonts w:hint="eastAsia" w:ascii="宋体" w:hAnsi="宋体" w:eastAsia="宋体"/>
                <w:color w:val="auto"/>
                <w:lang w:val="en-US" w:eastAsia="zh-CN"/>
              </w:rPr>
            </w:pPr>
            <w:r>
              <w:rPr>
                <w:rFonts w:hint="eastAsia" w:ascii="宋体" w:hAnsi="宋体" w:eastAsia="宋体"/>
                <w:color w:val="auto"/>
                <w:lang w:val="en-US" w:eastAsia="zh-CN"/>
              </w:rPr>
              <w:t>灾备机房技术要求</w:t>
            </w:r>
          </w:p>
        </w:tc>
        <w:tc>
          <w:tcPr>
            <w:tcW w:w="1536" w:type="dxa"/>
            <w:gridSpan w:val="2"/>
          </w:tcPr>
          <w:p w14:paraId="33D4AACB">
            <w:pPr>
              <w:widowControl/>
              <w:jc w:val="center"/>
              <w:rPr>
                <w:rFonts w:hint="default" w:ascii="宋体" w:hAnsi="宋体" w:eastAsia="宋体"/>
                <w:color w:val="auto"/>
                <w:lang w:val="en-US" w:eastAsia="zh-CN"/>
              </w:rPr>
            </w:pPr>
            <w:r>
              <w:rPr>
                <w:rFonts w:hint="eastAsia" w:ascii="宋体" w:hAnsi="宋体" w:eastAsia="宋体"/>
                <w:color w:val="auto"/>
                <w:lang w:val="en-US" w:eastAsia="zh-CN"/>
              </w:rPr>
              <w:t>灾备机房服务</w:t>
            </w:r>
          </w:p>
        </w:tc>
        <w:tc>
          <w:tcPr>
            <w:tcW w:w="5808" w:type="dxa"/>
            <w:vAlign w:val="center"/>
          </w:tcPr>
          <w:p w14:paraId="5457CCE8">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olor w:val="auto"/>
                <w:lang w:val="en-US" w:eastAsia="zh-CN"/>
              </w:rPr>
            </w:pPr>
            <w:r>
              <w:rPr>
                <w:rFonts w:hint="eastAsia" w:ascii="宋体" w:hAnsi="宋体" w:eastAsia="宋体"/>
                <w:color w:val="auto"/>
                <w:lang w:val="en-US" w:eastAsia="zh-CN"/>
              </w:rPr>
              <w:t>1、机房需符合数据中心可用性等级4A级，数据中心绿色等级5A级要求。</w:t>
            </w:r>
          </w:p>
          <w:p w14:paraId="21207C35">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olor w:val="auto"/>
                <w:lang w:val="en-US" w:eastAsia="zh-CN"/>
              </w:rPr>
            </w:pPr>
            <w:r>
              <w:rPr>
                <w:rFonts w:hint="eastAsia" w:ascii="宋体" w:hAnsi="宋体" w:eastAsia="宋体"/>
                <w:color w:val="auto"/>
                <w:lang w:val="en-US" w:eastAsia="zh-CN"/>
              </w:rPr>
              <w:t>2、提供标准不低于2U机柜机位。</w:t>
            </w:r>
          </w:p>
          <w:p w14:paraId="64070D73">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olor w:val="auto"/>
                <w:lang w:val="en-US" w:eastAsia="zh-CN"/>
              </w:rPr>
            </w:pPr>
            <w:r>
              <w:rPr>
                <w:rFonts w:hint="eastAsia" w:ascii="宋体" w:hAnsi="宋体" w:eastAsia="宋体"/>
                <w:color w:val="auto"/>
                <w:lang w:val="en-US" w:eastAsia="zh-CN"/>
              </w:rPr>
              <w:t>3、供电条件：机房配置双路市电接入，配套 UPS 不间断电源，后备供电时长不低于30分钟。</w:t>
            </w:r>
          </w:p>
          <w:p w14:paraId="16AC758E">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olor w:val="auto"/>
                <w:lang w:val="en-US" w:eastAsia="zh-CN"/>
              </w:rPr>
            </w:pPr>
            <w:r>
              <w:rPr>
                <w:rFonts w:hint="eastAsia" w:ascii="宋体" w:hAnsi="宋体" w:eastAsia="宋体"/>
                <w:color w:val="auto"/>
                <w:lang w:val="en-US" w:eastAsia="zh-CN"/>
              </w:rPr>
              <w:t>4、安防条件：机房配备独立门禁、7×24 小时视频监控、专人值守，机房出入记录留存时长不少于6个月。</w:t>
            </w:r>
          </w:p>
          <w:p w14:paraId="751E6123">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宋体" w:hAnsi="宋体" w:eastAsia="宋体"/>
                <w:color w:val="auto"/>
                <w:lang w:val="en-US" w:eastAsia="zh-CN"/>
              </w:rPr>
            </w:pPr>
            <w:r>
              <w:rPr>
                <w:rFonts w:hint="eastAsia" w:ascii="宋体" w:hAnsi="宋体" w:eastAsia="宋体"/>
                <w:color w:val="auto"/>
                <w:lang w:val="en-US" w:eastAsia="zh-CN"/>
              </w:rPr>
              <w:t>5、环境与消防：机房恒温恒湿控制在18℃-28℃，湿度 35%-75%，配套合规气体灭火消防系统。</w:t>
            </w:r>
          </w:p>
        </w:tc>
      </w:tr>
      <w:tr w14:paraId="36DB1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996" w:type="dxa"/>
          </w:tcPr>
          <w:p w14:paraId="20CEA309">
            <w:pPr>
              <w:widowControl/>
              <w:jc w:val="center"/>
              <w:rPr>
                <w:rFonts w:hint="default" w:ascii="宋体" w:hAnsi="宋体" w:eastAsia="宋体"/>
                <w:color w:val="auto"/>
                <w:lang w:val="en-US" w:eastAsia="zh-CN"/>
              </w:rPr>
            </w:pPr>
            <w:r>
              <w:rPr>
                <w:rFonts w:hint="eastAsia" w:ascii="宋体" w:hAnsi="宋体" w:eastAsia="宋体"/>
                <w:color w:val="auto"/>
                <w:lang w:val="en-US" w:eastAsia="zh-CN"/>
              </w:rPr>
              <w:t>服务期限</w:t>
            </w:r>
          </w:p>
        </w:tc>
        <w:tc>
          <w:tcPr>
            <w:tcW w:w="1536" w:type="dxa"/>
            <w:gridSpan w:val="2"/>
          </w:tcPr>
          <w:p w14:paraId="6F601381">
            <w:pPr>
              <w:widowControl/>
              <w:jc w:val="center"/>
              <w:rPr>
                <w:rFonts w:hint="default" w:ascii="宋体" w:hAnsi="宋体" w:eastAsia="宋体"/>
                <w:color w:val="auto"/>
                <w:lang w:val="en-US" w:eastAsia="zh-CN"/>
              </w:rPr>
            </w:pPr>
            <w:r>
              <w:rPr>
                <w:rFonts w:hint="eastAsia" w:ascii="宋体" w:hAnsi="宋体" w:eastAsia="宋体"/>
                <w:color w:val="auto"/>
                <w:lang w:val="en-US" w:eastAsia="zh-CN"/>
              </w:rPr>
              <w:t>服务期限</w:t>
            </w:r>
          </w:p>
        </w:tc>
        <w:tc>
          <w:tcPr>
            <w:tcW w:w="5808" w:type="dxa"/>
            <w:vAlign w:val="center"/>
          </w:tcPr>
          <w:p w14:paraId="6BFBCB51">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default" w:ascii="宋体" w:hAnsi="宋体" w:eastAsia="宋体"/>
                <w:color w:val="auto"/>
                <w:lang w:val="en-US" w:eastAsia="zh-CN"/>
              </w:rPr>
            </w:pPr>
            <w:r>
              <w:rPr>
                <w:rFonts w:hint="eastAsia" w:ascii="宋体" w:hAnsi="宋体" w:eastAsia="宋体"/>
                <w:color w:val="auto"/>
                <w:lang w:val="en-US" w:eastAsia="zh-CN"/>
              </w:rPr>
              <w:t>成交供应商实施完成后，经双方签字确认的当天，确认为服务开通时间，服务期限为服务开通之日起12个月。</w:t>
            </w:r>
          </w:p>
        </w:tc>
      </w:tr>
    </w:tbl>
    <w:p w14:paraId="70B57650">
      <w:pPr>
        <w:widowControl/>
        <w:jc w:val="center"/>
        <w:rPr>
          <w:rFonts w:hint="eastAsia" w:ascii="宋体" w:hAnsi="宋体" w:eastAsia="宋体"/>
          <w:lang w:val="en-US" w:eastAsia="zh-CN"/>
        </w:rPr>
      </w:pPr>
    </w:p>
    <w:p w14:paraId="4DAB4DB6">
      <w:pPr>
        <w:snapToGrid w:val="0"/>
        <w:spacing w:line="360" w:lineRule="auto"/>
        <w:jc w:val="both"/>
        <w:rPr>
          <w:rFonts w:hint="eastAsia" w:ascii="宋体" w:hAnsi="宋体"/>
          <w:b/>
          <w:sz w:val="28"/>
          <w:szCs w:val="28"/>
          <w:lang w:val="en-US" w:eastAsia="zh-CN"/>
        </w:rPr>
      </w:pPr>
    </w:p>
    <w:p w14:paraId="24139E1A">
      <w:pPr>
        <w:numPr>
          <w:ilvl w:val="0"/>
          <w:numId w:val="1"/>
        </w:numPr>
        <w:adjustRightInd w:val="0"/>
        <w:snapToGrid w:val="0"/>
        <w:spacing w:line="520" w:lineRule="exact"/>
        <w:ind w:firstLine="458" w:firstLineChars="200"/>
        <w:jc w:val="left"/>
        <w:rPr>
          <w:rFonts w:hint="eastAsia" w:ascii="宋体" w:hAnsi="宋体" w:eastAsia="仿宋_GB2312" w:cs="宋体"/>
          <w:b/>
          <w:bCs/>
          <w:color w:val="000000"/>
          <w:spacing w:val="-6"/>
          <w:sz w:val="24"/>
          <w:szCs w:val="32"/>
          <w:lang w:val="en-US" w:eastAsia="zh-CN"/>
        </w:rPr>
      </w:pPr>
      <w:r>
        <w:rPr>
          <w:rFonts w:hint="eastAsia" w:ascii="宋体" w:hAnsi="宋体" w:eastAsia="仿宋_GB2312" w:cs="宋体"/>
          <w:b/>
          <w:bCs/>
          <w:color w:val="000000"/>
          <w:spacing w:val="-6"/>
          <w:sz w:val="24"/>
          <w:szCs w:val="32"/>
          <w:lang w:val="en-US" w:eastAsia="zh-CN"/>
        </w:rPr>
        <w:t>评分标准</w:t>
      </w:r>
    </w:p>
    <w:tbl>
      <w:tblPr>
        <w:tblStyle w:val="6"/>
        <w:tblW w:w="85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9"/>
        <w:gridCol w:w="1140"/>
        <w:gridCol w:w="638"/>
        <w:gridCol w:w="106"/>
        <w:gridCol w:w="5880"/>
      </w:tblGrid>
      <w:tr w14:paraId="44F52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749" w:type="dxa"/>
            <w:vAlign w:val="center"/>
          </w:tcPr>
          <w:p w14:paraId="09E8B8B9">
            <w:pPr>
              <w:snapToGrid w:val="0"/>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序号</w:t>
            </w:r>
          </w:p>
        </w:tc>
        <w:tc>
          <w:tcPr>
            <w:tcW w:w="1140" w:type="dxa"/>
            <w:vAlign w:val="center"/>
          </w:tcPr>
          <w:p w14:paraId="1D35E8CD">
            <w:pPr>
              <w:snapToGrid w:val="0"/>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评分内容</w:t>
            </w:r>
          </w:p>
        </w:tc>
        <w:tc>
          <w:tcPr>
            <w:tcW w:w="744" w:type="dxa"/>
            <w:gridSpan w:val="2"/>
            <w:vAlign w:val="center"/>
          </w:tcPr>
          <w:p w14:paraId="534A4AE6">
            <w:pPr>
              <w:tabs>
                <w:tab w:val="left" w:pos="611"/>
              </w:tabs>
              <w:snapToGrid w:val="0"/>
              <w:spacing w:line="360" w:lineRule="auto"/>
              <w:jc w:val="center"/>
              <w:rPr>
                <w:rFonts w:hint="eastAsia" w:asciiTheme="minorEastAsia" w:hAnsiTheme="minorEastAsia" w:eastAsiaTheme="minorEastAsia" w:cstheme="minorEastAsia"/>
                <w:b/>
                <w:sz w:val="21"/>
                <w:szCs w:val="21"/>
              </w:rPr>
            </w:pPr>
            <w:r>
              <w:rPr>
                <w:rFonts w:hint="eastAsia" w:asciiTheme="minorEastAsia" w:hAnsiTheme="minorEastAsia" w:eastAsiaTheme="minorEastAsia" w:cstheme="minorEastAsia"/>
                <w:b/>
                <w:sz w:val="21"/>
                <w:szCs w:val="21"/>
              </w:rPr>
              <w:t>分值</w:t>
            </w:r>
          </w:p>
        </w:tc>
        <w:tc>
          <w:tcPr>
            <w:tcW w:w="5880" w:type="dxa"/>
            <w:vAlign w:val="center"/>
          </w:tcPr>
          <w:p w14:paraId="5E4D34F8">
            <w:pPr>
              <w:tabs>
                <w:tab w:val="left" w:pos="611"/>
              </w:tabs>
              <w:snapToGrid w:val="0"/>
              <w:spacing w:line="360" w:lineRule="auto"/>
              <w:ind w:left="560"/>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评分标准</w:t>
            </w:r>
          </w:p>
        </w:tc>
      </w:tr>
      <w:tr w14:paraId="28563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jc w:val="center"/>
        </w:trPr>
        <w:tc>
          <w:tcPr>
            <w:tcW w:w="749" w:type="dxa"/>
            <w:vAlign w:val="center"/>
          </w:tcPr>
          <w:p w14:paraId="4AD366BF">
            <w:pPr>
              <w:snapToGrid w:val="0"/>
              <w:spacing w:line="360" w:lineRule="auto"/>
              <w:jc w:val="center"/>
              <w:rPr>
                <w:rFonts w:hint="eastAsia" w:asciiTheme="minorEastAsia" w:hAnsiTheme="minorEastAsia" w:eastAsiaTheme="minorEastAsia" w:cstheme="minorEastAsia"/>
                <w:b/>
                <w:sz w:val="21"/>
                <w:szCs w:val="21"/>
                <w:lang w:val="en-US" w:eastAsia="zh-CN"/>
              </w:rPr>
            </w:pPr>
            <w:r>
              <w:rPr>
                <w:rFonts w:hint="eastAsia" w:asciiTheme="minorEastAsia" w:hAnsiTheme="minorEastAsia" w:eastAsiaTheme="minorEastAsia" w:cstheme="minorEastAsia"/>
                <w:b/>
                <w:sz w:val="21"/>
                <w:szCs w:val="21"/>
                <w:lang w:val="en-US" w:eastAsia="zh-CN"/>
              </w:rPr>
              <w:t>1</w:t>
            </w:r>
          </w:p>
        </w:tc>
        <w:tc>
          <w:tcPr>
            <w:tcW w:w="7764" w:type="dxa"/>
            <w:gridSpan w:val="4"/>
            <w:vAlign w:val="center"/>
          </w:tcPr>
          <w:p w14:paraId="6C1BFED7">
            <w:pPr>
              <w:tabs>
                <w:tab w:val="left" w:pos="611"/>
              </w:tabs>
              <w:snapToGrid w:val="0"/>
              <w:spacing w:line="360" w:lineRule="auto"/>
              <w:ind w:left="0"/>
              <w:jc w:val="left"/>
              <w:rPr>
                <w:rFonts w:hint="eastAsia" w:asciiTheme="minorEastAsia" w:hAnsiTheme="minorEastAsia" w:eastAsiaTheme="minorEastAsia" w:cstheme="minorEastAsia"/>
                <w:b/>
                <w:sz w:val="21"/>
                <w:szCs w:val="21"/>
                <w:lang w:val="en-US" w:eastAsia="zh-CN"/>
              </w:rPr>
            </w:pPr>
            <w:r>
              <w:rPr>
                <w:rFonts w:hint="eastAsia" w:asciiTheme="minorEastAsia" w:hAnsiTheme="minorEastAsia" w:eastAsiaTheme="minorEastAsia" w:cstheme="minorEastAsia"/>
                <w:b/>
                <w:sz w:val="21"/>
                <w:szCs w:val="21"/>
                <w:lang w:val="en-US" w:eastAsia="zh-CN"/>
              </w:rPr>
              <w:t>价格分（满分20分）</w:t>
            </w:r>
          </w:p>
        </w:tc>
      </w:tr>
      <w:tr w14:paraId="54AB8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9" w:type="dxa"/>
            <w:vAlign w:val="center"/>
          </w:tcPr>
          <w:p w14:paraId="30D41E76">
            <w:pPr>
              <w:snapToGrid w:val="0"/>
              <w:spacing w:line="360" w:lineRule="auto"/>
              <w:ind w:firstLine="105" w:firstLineChars="5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1.1</w:t>
            </w:r>
          </w:p>
        </w:tc>
        <w:tc>
          <w:tcPr>
            <w:tcW w:w="1140" w:type="dxa"/>
            <w:vAlign w:val="center"/>
          </w:tcPr>
          <w:p w14:paraId="095F235F">
            <w:pPr>
              <w:snapToGrid w:val="0"/>
              <w:spacing w:line="360" w:lineRule="auto"/>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bidi="zh-CN"/>
              </w:rPr>
              <w:t>价格</w:t>
            </w:r>
          </w:p>
        </w:tc>
        <w:tc>
          <w:tcPr>
            <w:tcW w:w="638" w:type="dxa"/>
            <w:vAlign w:val="center"/>
          </w:tcPr>
          <w:p w14:paraId="3ACC8C89">
            <w:pPr>
              <w:spacing w:line="360" w:lineRule="auto"/>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20</w:t>
            </w:r>
          </w:p>
        </w:tc>
        <w:tc>
          <w:tcPr>
            <w:tcW w:w="5986" w:type="dxa"/>
            <w:gridSpan w:val="2"/>
            <w:vAlign w:val="center"/>
          </w:tcPr>
          <w:p w14:paraId="684B65B7">
            <w:pPr>
              <w:snapToGrid w:val="0"/>
              <w:spacing w:line="360" w:lineRule="auto"/>
              <w:jc w:val="both"/>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某供应商价格分=(评标基准价／某供应商的响应报价)×20分。</w:t>
            </w:r>
          </w:p>
          <w:p w14:paraId="271BD793">
            <w:pPr>
              <w:snapToGrid w:val="0"/>
              <w:spacing w:line="360" w:lineRule="auto"/>
              <w:jc w:val="both"/>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注：响应基准价：所有有效投标中的最低报价，响应报价等于响应基准价时即得满分。</w:t>
            </w:r>
          </w:p>
        </w:tc>
      </w:tr>
      <w:tr w14:paraId="0D116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749" w:type="dxa"/>
            <w:vAlign w:val="center"/>
          </w:tcPr>
          <w:p w14:paraId="4E7C4145">
            <w:pPr>
              <w:snapToGrid w:val="0"/>
              <w:spacing w:line="360" w:lineRule="auto"/>
              <w:ind w:firstLine="0" w:firstLineChars="0"/>
              <w:jc w:val="center"/>
              <w:rPr>
                <w:rFonts w:hint="eastAsia" w:asciiTheme="minorEastAsia" w:hAnsiTheme="minorEastAsia" w:eastAsiaTheme="minorEastAsia" w:cstheme="minorEastAsia"/>
                <w:b/>
                <w:sz w:val="21"/>
                <w:szCs w:val="21"/>
                <w:lang w:val="en-US" w:eastAsia="zh-CN"/>
              </w:rPr>
            </w:pPr>
            <w:r>
              <w:rPr>
                <w:rFonts w:hint="eastAsia" w:asciiTheme="minorEastAsia" w:hAnsiTheme="minorEastAsia" w:eastAsiaTheme="minorEastAsia" w:cstheme="minorEastAsia"/>
                <w:b/>
                <w:sz w:val="21"/>
                <w:szCs w:val="21"/>
                <w:lang w:val="en-US" w:eastAsia="zh-CN"/>
              </w:rPr>
              <w:t>2</w:t>
            </w:r>
          </w:p>
        </w:tc>
        <w:tc>
          <w:tcPr>
            <w:tcW w:w="7764" w:type="dxa"/>
            <w:gridSpan w:val="4"/>
            <w:vAlign w:val="center"/>
          </w:tcPr>
          <w:p w14:paraId="12447238">
            <w:pPr>
              <w:snapToGrid w:val="0"/>
              <w:spacing w:line="360" w:lineRule="auto"/>
              <w:jc w:val="both"/>
              <w:rPr>
                <w:rFonts w:hint="eastAsia" w:asciiTheme="minorEastAsia" w:hAnsiTheme="minorEastAsia" w:eastAsiaTheme="minorEastAsia" w:cstheme="minorEastAsia"/>
                <w:b/>
                <w:sz w:val="21"/>
                <w:szCs w:val="21"/>
                <w:lang w:val="en-US" w:eastAsia="zh-CN"/>
              </w:rPr>
            </w:pPr>
            <w:r>
              <w:rPr>
                <w:rFonts w:hint="eastAsia" w:asciiTheme="minorEastAsia" w:hAnsiTheme="minorEastAsia" w:eastAsiaTheme="minorEastAsia" w:cstheme="minorEastAsia"/>
                <w:b/>
                <w:sz w:val="21"/>
                <w:szCs w:val="21"/>
                <w:lang w:val="en-US" w:eastAsia="zh-CN"/>
              </w:rPr>
              <w:t>技术分（满分47分）</w:t>
            </w:r>
          </w:p>
        </w:tc>
      </w:tr>
      <w:tr w14:paraId="4AB9D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9" w:type="dxa"/>
            <w:shd w:val="clear" w:color="auto" w:fill="auto"/>
            <w:vAlign w:val="center"/>
          </w:tcPr>
          <w:p w14:paraId="17EE78CE">
            <w:pPr>
              <w:snapToGrid w:val="0"/>
              <w:spacing w:line="360" w:lineRule="auto"/>
              <w:ind w:firstLine="105" w:firstLineChars="50"/>
              <w:jc w:val="center"/>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lang w:val="en-US" w:eastAsia="zh-CN"/>
              </w:rPr>
              <w:t>2.1</w:t>
            </w:r>
          </w:p>
        </w:tc>
        <w:tc>
          <w:tcPr>
            <w:tcW w:w="1140" w:type="dxa"/>
            <w:shd w:val="clear" w:color="auto" w:fill="auto"/>
            <w:vAlign w:val="center"/>
          </w:tcPr>
          <w:p w14:paraId="1CD8E152">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lang w:val="en-US" w:bidi="zh-CN"/>
              </w:rPr>
              <w:t>技术方案</w:t>
            </w:r>
          </w:p>
        </w:tc>
        <w:tc>
          <w:tcPr>
            <w:tcW w:w="638" w:type="dxa"/>
            <w:shd w:val="clear" w:color="auto" w:fill="auto"/>
            <w:vAlign w:val="center"/>
          </w:tcPr>
          <w:p w14:paraId="19F11146">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left"/>
              <w:textAlignment w:val="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lang w:val="en-US" w:eastAsia="zh-CN"/>
              </w:rPr>
              <w:t>25</w:t>
            </w:r>
          </w:p>
        </w:tc>
        <w:tc>
          <w:tcPr>
            <w:tcW w:w="5986" w:type="dxa"/>
            <w:gridSpan w:val="2"/>
            <w:shd w:val="clear" w:color="auto" w:fill="auto"/>
            <w:vAlign w:val="center"/>
          </w:tcPr>
          <w:p w14:paraId="51091F88">
            <w:pPr>
              <w:snapToGrid w:val="0"/>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一档</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en-US" w:eastAsia="zh-CN"/>
              </w:rPr>
              <w:t>8</w:t>
            </w:r>
            <w:r>
              <w:rPr>
                <w:rFonts w:hint="eastAsia" w:asciiTheme="minorEastAsia" w:hAnsiTheme="minorEastAsia" w:eastAsiaTheme="minorEastAsia" w:cstheme="minorEastAsia"/>
                <w:sz w:val="21"/>
                <w:szCs w:val="21"/>
              </w:rPr>
              <w:t>分）：缺少系统现状分析内容；对用户业务需求、系统拓扑、现有软硬件环境、核心业务系统及数据规模掌握较为粗浅；容灾备份策略表述笼统，备份策略关键要素缺失，技术方案通用性强，与用户实际业务环境匹配度低，方案可实施性不足。</w:t>
            </w:r>
          </w:p>
          <w:p w14:paraId="3D30D589">
            <w:pPr>
              <w:snapToGrid w:val="0"/>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二档</w:t>
            </w: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lang w:val="en-US" w:eastAsia="zh-CN"/>
              </w:rPr>
              <w:t>6</w:t>
            </w:r>
            <w:r>
              <w:rPr>
                <w:rFonts w:hint="eastAsia" w:asciiTheme="minorEastAsia" w:hAnsiTheme="minorEastAsia" w:eastAsiaTheme="minorEastAsia" w:cstheme="minorEastAsia"/>
                <w:sz w:val="21"/>
                <w:szCs w:val="21"/>
              </w:rPr>
              <w:t>分）：形成基础现状分析；基本理解用户业务需求，对系统拓扑、主要硬件设备、服务器、数据库、操作系统情况有一定掌握，能够描述核心业务系统部署方式与大致数据量级；可结合客户现状提出容灾备份策略建议，具备备份策略主要模块设计；技术方案框架完整，但部分细节深度不足，少量内容通用性较强，与现场实际环境贴合度一般，可基本满足项目实施需要。</w:t>
            </w:r>
          </w:p>
          <w:p w14:paraId="3B8C788A">
            <w:pPr>
              <w:snapToGrid w:val="0"/>
              <w:spacing w:line="360" w:lineRule="auto"/>
              <w:rPr>
                <w:rFonts w:hint="eastAsia" w:asciiTheme="minorEastAsia" w:hAnsiTheme="minorEastAsia" w:eastAsiaTheme="minorEastAsia" w:cstheme="minorEastAsia"/>
                <w:kern w:val="2"/>
                <w:sz w:val="21"/>
                <w:szCs w:val="21"/>
                <w:lang w:val="en-US" w:eastAsia="zh-CN" w:bidi="ar-SA"/>
              </w:rPr>
            </w:pPr>
            <w:r>
              <w:rPr>
                <w:rFonts w:hint="eastAsia" w:asciiTheme="minorEastAsia" w:hAnsiTheme="minorEastAsia" w:eastAsiaTheme="minorEastAsia" w:cstheme="minorEastAsia"/>
                <w:sz w:val="21"/>
                <w:szCs w:val="21"/>
                <w:lang w:val="en-US" w:eastAsia="zh-CN"/>
              </w:rPr>
              <w:t>三挡</w:t>
            </w:r>
            <w:r>
              <w:rPr>
                <w:rFonts w:hint="eastAsia" w:asciiTheme="minorEastAsia" w:hAnsiTheme="minorEastAsia" w:eastAsiaTheme="minorEastAsia" w:cstheme="minorEastAsia"/>
                <w:sz w:val="21"/>
                <w:szCs w:val="21"/>
              </w:rPr>
              <w:t>（25分）：形成完整、详实的系统现状分析材料；全面掌握用户业务需求，熟知现有系统架构拓扑、在用硬件设备清单，清晰掌握服务器、数据库、操作系统版本及运行参数；精准梳理核心业务系统部署模式、业务逻辑与实际数据规模；结合业务 RTO/RPO 要求，匹配客户真实业务环境，编制针对性强、可落地的容灾备份总体策略，备份粒度、备份周期、保留策略、灾难恢复方式等关键内容设计完整细化，整体技术方案贴合项目实际，具备较强实操性。</w:t>
            </w:r>
          </w:p>
        </w:tc>
      </w:tr>
      <w:tr w14:paraId="45B2C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9" w:type="dxa"/>
            <w:vAlign w:val="center"/>
          </w:tcPr>
          <w:p w14:paraId="2C2DA96B">
            <w:pPr>
              <w:snapToGrid w:val="0"/>
              <w:spacing w:line="360" w:lineRule="auto"/>
              <w:ind w:firstLine="105" w:firstLineChars="5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2.2</w:t>
            </w:r>
          </w:p>
        </w:tc>
        <w:tc>
          <w:tcPr>
            <w:tcW w:w="1140" w:type="dxa"/>
            <w:vAlign w:val="center"/>
          </w:tcPr>
          <w:p w14:paraId="032DD25B">
            <w:pPr>
              <w:keepNext w:val="0"/>
              <w:keepLines w:val="0"/>
              <w:pageBreakBefore w:val="0"/>
              <w:widowControl/>
              <w:suppressLineNumbers w:val="0"/>
              <w:kinsoku/>
              <w:wordWrap/>
              <w:overflowPunct/>
              <w:topLinePunct w:val="0"/>
              <w:autoSpaceDE/>
              <w:autoSpaceDN/>
              <w:bidi w:val="0"/>
              <w:adjustRightInd/>
              <w:snapToGrid/>
              <w:spacing w:line="288" w:lineRule="auto"/>
              <w:jc w:val="left"/>
              <w:textAlignment w:val="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bidi="zh-CN"/>
              </w:rPr>
              <w:t>灾备演练方案</w:t>
            </w:r>
          </w:p>
        </w:tc>
        <w:tc>
          <w:tcPr>
            <w:tcW w:w="638" w:type="dxa"/>
            <w:vAlign w:val="center"/>
          </w:tcPr>
          <w:p w14:paraId="0B4DB48B">
            <w:pPr>
              <w:keepNext w:val="0"/>
              <w:keepLines w:val="0"/>
              <w:pageBreakBefore w:val="0"/>
              <w:widowControl/>
              <w:suppressLineNumbers w:val="0"/>
              <w:kinsoku/>
              <w:wordWrap/>
              <w:overflowPunct/>
              <w:topLinePunct w:val="0"/>
              <w:autoSpaceDE/>
              <w:autoSpaceDN/>
              <w:bidi w:val="0"/>
              <w:adjustRightInd/>
              <w:snapToGrid/>
              <w:spacing w:line="288" w:lineRule="auto"/>
              <w:ind w:firstLine="210" w:firstLineChars="100"/>
              <w:jc w:val="left"/>
              <w:textAlignment w:val="auto"/>
              <w:rPr>
                <w:rFonts w:hint="eastAsia" w:asciiTheme="minorEastAsia" w:hAnsiTheme="minorEastAsia" w:eastAsiaTheme="minorEastAsia" w:cstheme="minorEastAsia"/>
                <w:sz w:val="21"/>
                <w:szCs w:val="21"/>
                <w:lang w:val="en-US"/>
              </w:rPr>
            </w:pPr>
            <w:r>
              <w:rPr>
                <w:rFonts w:hint="eastAsia" w:asciiTheme="minorEastAsia" w:hAnsiTheme="minorEastAsia" w:eastAsiaTheme="minorEastAsia" w:cstheme="minorEastAsia"/>
                <w:sz w:val="21"/>
                <w:szCs w:val="21"/>
                <w:lang w:val="en-US" w:bidi="zh-CN"/>
              </w:rPr>
              <w:t>11</w:t>
            </w:r>
          </w:p>
        </w:tc>
        <w:tc>
          <w:tcPr>
            <w:tcW w:w="5986" w:type="dxa"/>
            <w:gridSpan w:val="2"/>
            <w:vAlign w:val="center"/>
          </w:tcPr>
          <w:p w14:paraId="6526A0E1">
            <w:pPr>
              <w:snapToGrid w:val="0"/>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一</w:t>
            </w:r>
            <w:r>
              <w:rPr>
                <w:rFonts w:hint="eastAsia" w:asciiTheme="minorEastAsia" w:hAnsiTheme="minorEastAsia" w:eastAsiaTheme="minorEastAsia" w:cstheme="minorEastAsia"/>
                <w:sz w:val="21"/>
                <w:szCs w:val="21"/>
              </w:rPr>
              <w:t>档（</w:t>
            </w:r>
            <w:r>
              <w:rPr>
                <w:rFonts w:hint="eastAsia" w:asciiTheme="minorEastAsia" w:hAnsiTheme="minorEastAsia" w:eastAsiaTheme="minorEastAsia" w:cstheme="minorEastAsia"/>
                <w:sz w:val="21"/>
                <w:szCs w:val="21"/>
                <w:lang w:val="en-US" w:eastAsia="zh-CN"/>
              </w:rPr>
              <w:t>2</w:t>
            </w:r>
            <w:r>
              <w:rPr>
                <w:rFonts w:hint="eastAsia" w:asciiTheme="minorEastAsia" w:hAnsiTheme="minorEastAsia" w:eastAsiaTheme="minorEastAsia" w:cstheme="minorEastAsia"/>
                <w:sz w:val="21"/>
                <w:szCs w:val="21"/>
              </w:rPr>
              <w:t>分） 灾难恢复应急演练方案内容简略或缺失，缺少完整演练流程，未明确人员分工、业务验证要求；无故障回退处置机制；演练场景缺失或流于形式，未结合业务实际；未识别演练过程中的业务运行风险，无应急处置措施，无法支撑灾难恢复应急演练开展。</w:t>
            </w:r>
          </w:p>
          <w:p w14:paraId="493BF1C2">
            <w:pPr>
              <w:snapToGrid w:val="0"/>
              <w:spacing w:line="360" w:lineRule="auto"/>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二</w:t>
            </w:r>
            <w:r>
              <w:rPr>
                <w:rFonts w:hint="eastAsia" w:asciiTheme="minorEastAsia" w:hAnsiTheme="minorEastAsia" w:eastAsiaTheme="minorEastAsia" w:cstheme="minorEastAsia"/>
                <w:sz w:val="21"/>
                <w:szCs w:val="21"/>
              </w:rPr>
              <w:t>档（</w:t>
            </w:r>
            <w:r>
              <w:rPr>
                <w:rFonts w:hint="eastAsia" w:asciiTheme="minorEastAsia" w:hAnsiTheme="minorEastAsia" w:eastAsiaTheme="minorEastAsia" w:cstheme="minorEastAsia"/>
                <w:sz w:val="21"/>
                <w:szCs w:val="21"/>
                <w:lang w:val="en-US" w:eastAsia="zh-CN"/>
              </w:rPr>
              <w:t>6</w:t>
            </w:r>
            <w:r>
              <w:rPr>
                <w:rFonts w:hint="eastAsia" w:asciiTheme="minorEastAsia" w:hAnsiTheme="minorEastAsia" w:eastAsiaTheme="minorEastAsia" w:cstheme="minorEastAsia"/>
                <w:sz w:val="21"/>
                <w:szCs w:val="21"/>
              </w:rPr>
              <w:t>分） 灾难恢复应急演练方案框架基本完整，明确主要演练目标与参与人员，具备灾难恢复主要操作流程，包含基础业务验证环节；有简单回退处置思路，但触发条件、校验环节不够细化；演练场景较为常规，与实际业务故障场景贴合度一般；有部分风险识别，应急处置措施偏原则性，细节不足，缺少完整复盘改进机制，可作为演练参考依据，但不能直接照搬实施。</w:t>
            </w:r>
          </w:p>
          <w:p w14:paraId="5ABBF8E6">
            <w:pPr>
              <w:snapToGrid w:val="0"/>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en-US" w:eastAsia="zh-CN"/>
              </w:rPr>
              <w:t>三</w:t>
            </w:r>
            <w:r>
              <w:rPr>
                <w:rFonts w:hint="eastAsia" w:asciiTheme="minorEastAsia" w:hAnsiTheme="minorEastAsia" w:eastAsiaTheme="minorEastAsia" w:cstheme="minorEastAsia"/>
                <w:sz w:val="21"/>
                <w:szCs w:val="21"/>
              </w:rPr>
              <w:t>档（</w:t>
            </w:r>
            <w:r>
              <w:rPr>
                <w:rFonts w:hint="eastAsia" w:asciiTheme="minorEastAsia" w:hAnsiTheme="minorEastAsia" w:eastAsiaTheme="minorEastAsia" w:cstheme="minorEastAsia"/>
                <w:sz w:val="21"/>
                <w:szCs w:val="21"/>
                <w:lang w:val="en-US" w:eastAsia="zh-CN"/>
              </w:rPr>
              <w:t>11</w:t>
            </w:r>
            <w:r>
              <w:rPr>
                <w:rFonts w:hint="eastAsia" w:asciiTheme="minorEastAsia" w:hAnsiTheme="minorEastAsia" w:eastAsiaTheme="minorEastAsia" w:cstheme="minorEastAsia"/>
                <w:sz w:val="21"/>
                <w:szCs w:val="21"/>
              </w:rPr>
              <w:t>分） 灾难恢复应急演练方案体系完整，明确演练目标、演练范围、参演系统、人员分工、演练前置条件；包含完整的灾难恢复切换执行流程、业务有效性验证、恢复效果核验指标；制定清晰的演练失败触发条件与应急回退处置流程；针对用户业务场景，充分考虑业务连续性、停机影响，演练场景贴合真实故障；配套演练记录、问题复盘、演练总结及优化改进机制；风险识别全面，应急处置措施具体可落地，方案可直接用于组织开展实战化灾难恢复应急演练。</w:t>
            </w:r>
          </w:p>
        </w:tc>
      </w:tr>
      <w:tr w14:paraId="0D2CC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9" w:type="dxa"/>
            <w:vAlign w:val="center"/>
          </w:tcPr>
          <w:p w14:paraId="48535834">
            <w:pPr>
              <w:snapToGrid w:val="0"/>
              <w:spacing w:line="360" w:lineRule="auto"/>
              <w:ind w:firstLine="105" w:firstLineChars="50"/>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2.3</w:t>
            </w:r>
          </w:p>
        </w:tc>
        <w:tc>
          <w:tcPr>
            <w:tcW w:w="1140" w:type="dxa"/>
            <w:vAlign w:val="center"/>
          </w:tcPr>
          <w:p w14:paraId="084647BA">
            <w:pPr>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灾备赋能与售后支持服务方案</w:t>
            </w:r>
          </w:p>
        </w:tc>
        <w:tc>
          <w:tcPr>
            <w:tcW w:w="638" w:type="dxa"/>
            <w:vAlign w:val="center"/>
          </w:tcPr>
          <w:p w14:paraId="2B66F088">
            <w:pPr>
              <w:snapToGrid w:val="0"/>
              <w:spacing w:line="360" w:lineRule="auto"/>
              <w:rPr>
                <w:rFonts w:hint="eastAsia" w:asciiTheme="minorEastAsia" w:hAnsiTheme="minorEastAsia" w:eastAsiaTheme="minorEastAsia" w:cstheme="minorEastAsia"/>
                <w:color w:val="auto"/>
                <w:sz w:val="21"/>
                <w:szCs w:val="21"/>
                <w:lang w:val="en-US" w:eastAsia="zh-CN"/>
              </w:rPr>
            </w:pPr>
            <w:r>
              <w:rPr>
                <w:rFonts w:hint="eastAsia" w:asciiTheme="minorEastAsia" w:hAnsiTheme="minorEastAsia" w:eastAsiaTheme="minorEastAsia" w:cstheme="minorEastAsia"/>
                <w:color w:val="auto"/>
                <w:sz w:val="21"/>
                <w:szCs w:val="21"/>
                <w:lang w:val="en-US" w:eastAsia="zh-CN"/>
              </w:rPr>
              <w:t>11</w:t>
            </w:r>
          </w:p>
        </w:tc>
        <w:tc>
          <w:tcPr>
            <w:tcW w:w="5986" w:type="dxa"/>
            <w:gridSpan w:val="2"/>
            <w:vAlign w:val="center"/>
          </w:tcPr>
          <w:p w14:paraId="6CCE3CF1">
            <w:pPr>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一</w:t>
            </w:r>
            <w:r>
              <w:rPr>
                <w:rFonts w:hint="eastAsia" w:asciiTheme="minorEastAsia" w:hAnsiTheme="minorEastAsia" w:eastAsiaTheme="minorEastAsia" w:cstheme="minorEastAsia"/>
                <w:color w:val="auto"/>
                <w:sz w:val="21"/>
                <w:szCs w:val="21"/>
              </w:rPr>
              <w:t>档（</w:t>
            </w:r>
            <w:r>
              <w:rPr>
                <w:rFonts w:hint="eastAsia" w:asciiTheme="minorEastAsia" w:hAnsiTheme="minorEastAsia" w:eastAsiaTheme="minorEastAsia" w:cstheme="minorEastAsia"/>
                <w:color w:val="auto"/>
                <w:sz w:val="21"/>
                <w:szCs w:val="21"/>
                <w:lang w:val="en-US" w:eastAsia="zh-CN"/>
              </w:rPr>
              <w:t>2</w:t>
            </w:r>
            <w:r>
              <w:rPr>
                <w:rFonts w:hint="eastAsia" w:asciiTheme="minorEastAsia" w:hAnsiTheme="minorEastAsia" w:eastAsiaTheme="minorEastAsia" w:cstheme="minorEastAsia"/>
                <w:color w:val="auto"/>
                <w:sz w:val="21"/>
                <w:szCs w:val="21"/>
              </w:rPr>
              <w:t>分） 售后运维及巡检方案内容简略或存在缺失，</w:t>
            </w:r>
            <w:r>
              <w:rPr>
                <w:rFonts w:hint="eastAsia" w:asciiTheme="minorEastAsia" w:hAnsiTheme="minorEastAsia" w:eastAsiaTheme="minorEastAsia" w:cstheme="minorEastAsia"/>
                <w:color w:val="auto"/>
                <w:sz w:val="21"/>
                <w:szCs w:val="21"/>
                <w:lang w:val="en-US" w:eastAsia="zh-CN"/>
              </w:rPr>
              <w:t>人员职责不明确、故障处置流程不清晰，无标准化巡检计划</w:t>
            </w:r>
            <w:r>
              <w:rPr>
                <w:rFonts w:hint="eastAsia" w:asciiTheme="minorEastAsia" w:hAnsiTheme="minorEastAsia" w:eastAsiaTheme="minorEastAsia" w:cstheme="minorEastAsia"/>
                <w:color w:val="auto"/>
                <w:sz w:val="21"/>
                <w:szCs w:val="21"/>
              </w:rPr>
              <w:t>。</w:t>
            </w:r>
          </w:p>
          <w:p w14:paraId="01E54773">
            <w:pPr>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二</w:t>
            </w:r>
            <w:r>
              <w:rPr>
                <w:rFonts w:hint="eastAsia" w:asciiTheme="minorEastAsia" w:hAnsiTheme="minorEastAsia" w:eastAsiaTheme="minorEastAsia" w:cstheme="minorEastAsia"/>
                <w:color w:val="auto"/>
                <w:sz w:val="21"/>
                <w:szCs w:val="21"/>
              </w:rPr>
              <w:t>档（</w:t>
            </w:r>
            <w:r>
              <w:rPr>
                <w:rFonts w:hint="eastAsia" w:asciiTheme="minorEastAsia" w:hAnsiTheme="minorEastAsia" w:eastAsiaTheme="minorEastAsia" w:cstheme="minorEastAsia"/>
                <w:color w:val="auto"/>
                <w:sz w:val="21"/>
                <w:szCs w:val="21"/>
                <w:lang w:val="en-US" w:eastAsia="zh-CN"/>
              </w:rPr>
              <w:t>6</w:t>
            </w:r>
            <w:r>
              <w:rPr>
                <w:rFonts w:hint="eastAsia" w:asciiTheme="minorEastAsia" w:hAnsiTheme="minorEastAsia" w:eastAsiaTheme="minorEastAsia" w:cstheme="minorEastAsia"/>
                <w:color w:val="auto"/>
                <w:sz w:val="21"/>
                <w:szCs w:val="21"/>
              </w:rPr>
              <w:t>分） 具备基础的售后运维管理制度，有运维人员配置、基础故障处理流程，灾备巡检列明主要内容及周期</w:t>
            </w:r>
            <w:r>
              <w:rPr>
                <w:rFonts w:hint="eastAsia" w:asciiTheme="minorEastAsia" w:hAnsiTheme="minorEastAsia" w:eastAsiaTheme="minorEastAsia" w:cstheme="minorEastAsia"/>
                <w:color w:val="auto"/>
                <w:sz w:val="21"/>
                <w:szCs w:val="21"/>
                <w:lang w:val="en-US" w:eastAsia="zh-CN"/>
              </w:rPr>
              <w:t>及标准化巡检计划</w:t>
            </w:r>
            <w:r>
              <w:rPr>
                <w:rFonts w:hint="eastAsia" w:asciiTheme="minorEastAsia" w:hAnsiTheme="minorEastAsia" w:eastAsiaTheme="minorEastAsia" w:cstheme="minorEastAsia"/>
                <w:color w:val="auto"/>
                <w:sz w:val="21"/>
                <w:szCs w:val="21"/>
              </w:rPr>
              <w:t>。</w:t>
            </w:r>
          </w:p>
          <w:p w14:paraId="36778528">
            <w:pPr>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eastAsia="zh-CN"/>
              </w:rPr>
              <w:t>三</w:t>
            </w:r>
            <w:r>
              <w:rPr>
                <w:rFonts w:hint="eastAsia" w:asciiTheme="minorEastAsia" w:hAnsiTheme="minorEastAsia" w:eastAsiaTheme="minorEastAsia" w:cstheme="minorEastAsia"/>
                <w:color w:val="auto"/>
                <w:sz w:val="21"/>
                <w:szCs w:val="21"/>
              </w:rPr>
              <w:t>档（</w:t>
            </w:r>
            <w:r>
              <w:rPr>
                <w:rFonts w:hint="eastAsia" w:asciiTheme="minorEastAsia" w:hAnsiTheme="minorEastAsia" w:eastAsiaTheme="minorEastAsia" w:cstheme="minorEastAsia"/>
                <w:color w:val="auto"/>
                <w:sz w:val="21"/>
                <w:szCs w:val="21"/>
                <w:lang w:val="en-US" w:eastAsia="zh-CN"/>
              </w:rPr>
              <w:t>11</w:t>
            </w:r>
            <w:r>
              <w:rPr>
                <w:rFonts w:hint="eastAsia" w:asciiTheme="minorEastAsia" w:hAnsiTheme="minorEastAsia" w:eastAsiaTheme="minorEastAsia" w:cstheme="minorEastAsia"/>
                <w:color w:val="auto"/>
                <w:sz w:val="21"/>
                <w:szCs w:val="21"/>
              </w:rPr>
              <w:t>分） 售后运维管理体系健全，</w:t>
            </w:r>
            <w:r>
              <w:rPr>
                <w:rFonts w:hint="eastAsia" w:asciiTheme="minorEastAsia" w:hAnsiTheme="minorEastAsia" w:eastAsiaTheme="minorEastAsia" w:cstheme="minorEastAsia"/>
                <w:color w:val="auto"/>
                <w:sz w:val="21"/>
                <w:szCs w:val="21"/>
                <w:lang w:val="en-US" w:eastAsia="zh-CN"/>
              </w:rPr>
              <w:t>具备运维组织架构、岗位职责、7×24 小时支持、故障分级处置、问题闭环；灾备标准化巡检方案完整，明确周期、对象、项目、指标、巡检报告；覆盖运维监控、告警处置、补丁升级、配置变更、知识库；结合医疗业务运维保障，含故障上报、溯源整改跟踪；明确运维记录、复盘文档管理，方案可落地。</w:t>
            </w:r>
          </w:p>
        </w:tc>
      </w:tr>
      <w:tr w14:paraId="575F7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749" w:type="dxa"/>
            <w:vAlign w:val="center"/>
          </w:tcPr>
          <w:p w14:paraId="3439827D">
            <w:pPr>
              <w:snapToGrid w:val="0"/>
              <w:spacing w:line="360" w:lineRule="auto"/>
              <w:ind w:firstLine="0" w:firstLineChars="0"/>
              <w:jc w:val="center"/>
              <w:rPr>
                <w:rFonts w:hint="eastAsia" w:asciiTheme="minorEastAsia" w:hAnsiTheme="minorEastAsia" w:eastAsiaTheme="minorEastAsia" w:cstheme="minorEastAsia"/>
                <w:b/>
                <w:sz w:val="21"/>
                <w:szCs w:val="21"/>
                <w:lang w:val="en-US" w:eastAsia="zh-CN"/>
              </w:rPr>
            </w:pPr>
            <w:r>
              <w:rPr>
                <w:rFonts w:hint="eastAsia" w:asciiTheme="minorEastAsia" w:hAnsiTheme="minorEastAsia" w:eastAsiaTheme="minorEastAsia" w:cstheme="minorEastAsia"/>
                <w:b/>
                <w:sz w:val="21"/>
                <w:szCs w:val="21"/>
                <w:lang w:val="en-US" w:eastAsia="zh-CN"/>
              </w:rPr>
              <w:t>3</w:t>
            </w:r>
          </w:p>
        </w:tc>
        <w:tc>
          <w:tcPr>
            <w:tcW w:w="7764" w:type="dxa"/>
            <w:gridSpan w:val="4"/>
            <w:vAlign w:val="center"/>
          </w:tcPr>
          <w:p w14:paraId="75D7CA6C">
            <w:pPr>
              <w:snapToGrid w:val="0"/>
              <w:spacing w:line="360" w:lineRule="auto"/>
              <w:jc w:val="both"/>
              <w:rPr>
                <w:rFonts w:hint="eastAsia" w:asciiTheme="minorEastAsia" w:hAnsiTheme="minorEastAsia" w:eastAsiaTheme="minorEastAsia" w:cstheme="minorEastAsia"/>
                <w:b/>
                <w:sz w:val="21"/>
                <w:szCs w:val="21"/>
                <w:lang w:val="en-US" w:eastAsia="zh-CN"/>
              </w:rPr>
            </w:pPr>
            <w:r>
              <w:rPr>
                <w:rFonts w:hint="eastAsia" w:asciiTheme="minorEastAsia" w:hAnsiTheme="minorEastAsia" w:eastAsiaTheme="minorEastAsia" w:cstheme="minorEastAsia"/>
                <w:b/>
                <w:sz w:val="21"/>
                <w:szCs w:val="21"/>
                <w:lang w:val="en-US" w:eastAsia="zh-CN"/>
              </w:rPr>
              <w:t>商务分（满分33分）</w:t>
            </w:r>
          </w:p>
        </w:tc>
      </w:tr>
      <w:tr w14:paraId="68197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9" w:type="dxa"/>
            <w:vMerge w:val="restart"/>
            <w:vAlign w:val="center"/>
          </w:tcPr>
          <w:p w14:paraId="09F6C5FB">
            <w:pPr>
              <w:snapToGrid w:val="0"/>
              <w:spacing w:line="360" w:lineRule="auto"/>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3.1</w:t>
            </w:r>
          </w:p>
        </w:tc>
        <w:tc>
          <w:tcPr>
            <w:tcW w:w="1140" w:type="dxa"/>
            <w:vMerge w:val="restart"/>
            <w:vAlign w:val="center"/>
          </w:tcPr>
          <w:p w14:paraId="6D47926A">
            <w:pPr>
              <w:snapToGrid w:val="0"/>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综合实力</w:t>
            </w:r>
          </w:p>
          <w:p w14:paraId="61DFFAD4">
            <w:pPr>
              <w:spacing w:line="360" w:lineRule="auto"/>
              <w:jc w:val="center"/>
              <w:rPr>
                <w:rFonts w:hint="eastAsia" w:asciiTheme="minorEastAsia" w:hAnsiTheme="minorEastAsia" w:eastAsiaTheme="minorEastAsia" w:cstheme="minorEastAsia"/>
                <w:sz w:val="21"/>
                <w:szCs w:val="21"/>
              </w:rPr>
            </w:pPr>
          </w:p>
        </w:tc>
        <w:tc>
          <w:tcPr>
            <w:tcW w:w="638" w:type="dxa"/>
            <w:vAlign w:val="center"/>
          </w:tcPr>
          <w:p w14:paraId="3CEB5175">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Cs/>
                <w:sz w:val="21"/>
                <w:szCs w:val="21"/>
              </w:rPr>
              <w:t>6</w:t>
            </w:r>
          </w:p>
        </w:tc>
        <w:tc>
          <w:tcPr>
            <w:tcW w:w="5986" w:type="dxa"/>
            <w:gridSpan w:val="2"/>
          </w:tcPr>
          <w:p w14:paraId="789F2299">
            <w:pPr>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eastAsia="zh-CN"/>
              </w:rPr>
              <w:t>供应商</w:t>
            </w:r>
            <w:r>
              <w:rPr>
                <w:rFonts w:hint="eastAsia" w:asciiTheme="minorEastAsia" w:hAnsiTheme="minorEastAsia" w:eastAsiaTheme="minorEastAsia" w:cstheme="minorEastAsia"/>
                <w:color w:val="auto"/>
                <w:sz w:val="21"/>
                <w:szCs w:val="21"/>
              </w:rPr>
              <w:t>具有ISO9001质量管理体系认证、ISO14001环境管理体系认证、ISO45001职业健康安全管理体系认证，每提供1个得2分，满分6分。（提供证书复印件，否则不计分）</w:t>
            </w:r>
          </w:p>
        </w:tc>
      </w:tr>
      <w:tr w14:paraId="1A035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9" w:type="dxa"/>
            <w:vMerge w:val="continue"/>
            <w:vAlign w:val="center"/>
          </w:tcPr>
          <w:p w14:paraId="59C2F569">
            <w:pPr>
              <w:spacing w:line="360" w:lineRule="auto"/>
              <w:jc w:val="center"/>
              <w:rPr>
                <w:rFonts w:hint="eastAsia" w:asciiTheme="minorEastAsia" w:hAnsiTheme="minorEastAsia" w:eastAsiaTheme="minorEastAsia" w:cstheme="minorEastAsia"/>
                <w:sz w:val="21"/>
                <w:szCs w:val="21"/>
              </w:rPr>
            </w:pPr>
          </w:p>
        </w:tc>
        <w:tc>
          <w:tcPr>
            <w:tcW w:w="1140" w:type="dxa"/>
            <w:vMerge w:val="continue"/>
            <w:vAlign w:val="center"/>
          </w:tcPr>
          <w:p w14:paraId="13517470">
            <w:pPr>
              <w:spacing w:line="340" w:lineRule="exact"/>
              <w:jc w:val="left"/>
              <w:rPr>
                <w:rFonts w:hint="eastAsia" w:asciiTheme="minorEastAsia" w:hAnsiTheme="minorEastAsia" w:eastAsiaTheme="minorEastAsia" w:cstheme="minorEastAsia"/>
                <w:sz w:val="21"/>
                <w:szCs w:val="21"/>
              </w:rPr>
            </w:pPr>
          </w:p>
        </w:tc>
        <w:tc>
          <w:tcPr>
            <w:tcW w:w="638" w:type="dxa"/>
            <w:vAlign w:val="center"/>
          </w:tcPr>
          <w:p w14:paraId="160D28EB">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w:t>
            </w:r>
          </w:p>
        </w:tc>
        <w:tc>
          <w:tcPr>
            <w:tcW w:w="5986" w:type="dxa"/>
            <w:gridSpan w:val="2"/>
          </w:tcPr>
          <w:p w14:paraId="692B6F39">
            <w:pPr>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eastAsia="zh-CN"/>
              </w:rPr>
              <w:t>供应商</w:t>
            </w:r>
            <w:r>
              <w:rPr>
                <w:rFonts w:hint="eastAsia" w:asciiTheme="minorEastAsia" w:hAnsiTheme="minorEastAsia" w:eastAsiaTheme="minorEastAsia" w:cstheme="minorEastAsia"/>
                <w:color w:val="auto"/>
                <w:sz w:val="21"/>
                <w:szCs w:val="21"/>
              </w:rPr>
              <w:t>2023年1月1日至今类似项目经验：每提供1个类似灾备服务项目经验得2分，最高得6分。（提供项目合同复印件并加盖</w:t>
            </w:r>
            <w:r>
              <w:rPr>
                <w:rFonts w:hint="eastAsia" w:asciiTheme="minorEastAsia" w:hAnsiTheme="minorEastAsia" w:eastAsiaTheme="minorEastAsia" w:cstheme="minorEastAsia"/>
                <w:color w:val="auto"/>
                <w:sz w:val="21"/>
                <w:szCs w:val="21"/>
                <w:lang w:eastAsia="zh-CN"/>
              </w:rPr>
              <w:t>供应商</w:t>
            </w:r>
            <w:r>
              <w:rPr>
                <w:rFonts w:hint="eastAsia" w:asciiTheme="minorEastAsia" w:hAnsiTheme="minorEastAsia" w:eastAsiaTheme="minorEastAsia" w:cstheme="minorEastAsia"/>
                <w:color w:val="auto"/>
                <w:sz w:val="21"/>
                <w:szCs w:val="21"/>
              </w:rPr>
              <w:t>公章）</w:t>
            </w:r>
          </w:p>
        </w:tc>
      </w:tr>
      <w:tr w14:paraId="28B08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9" w:type="dxa"/>
            <w:vMerge w:val="continue"/>
            <w:vAlign w:val="center"/>
          </w:tcPr>
          <w:p w14:paraId="336969CC">
            <w:pPr>
              <w:spacing w:line="360" w:lineRule="auto"/>
              <w:jc w:val="center"/>
              <w:rPr>
                <w:rFonts w:hint="eastAsia" w:asciiTheme="minorEastAsia" w:hAnsiTheme="minorEastAsia" w:eastAsiaTheme="minorEastAsia" w:cstheme="minorEastAsia"/>
                <w:sz w:val="21"/>
                <w:szCs w:val="21"/>
              </w:rPr>
            </w:pPr>
          </w:p>
        </w:tc>
        <w:tc>
          <w:tcPr>
            <w:tcW w:w="1140" w:type="dxa"/>
            <w:vMerge w:val="continue"/>
            <w:vAlign w:val="center"/>
          </w:tcPr>
          <w:p w14:paraId="0180D8C7">
            <w:pPr>
              <w:spacing w:line="340" w:lineRule="exact"/>
              <w:jc w:val="left"/>
              <w:rPr>
                <w:rFonts w:hint="eastAsia" w:asciiTheme="minorEastAsia" w:hAnsiTheme="minorEastAsia" w:eastAsiaTheme="minorEastAsia" w:cstheme="minorEastAsia"/>
                <w:sz w:val="21"/>
                <w:szCs w:val="21"/>
              </w:rPr>
            </w:pPr>
          </w:p>
        </w:tc>
        <w:tc>
          <w:tcPr>
            <w:tcW w:w="638" w:type="dxa"/>
            <w:vAlign w:val="center"/>
          </w:tcPr>
          <w:p w14:paraId="4306A278">
            <w:pPr>
              <w:spacing w:line="360" w:lineRule="auto"/>
              <w:jc w:val="center"/>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10</w:t>
            </w:r>
          </w:p>
        </w:tc>
        <w:tc>
          <w:tcPr>
            <w:tcW w:w="5986" w:type="dxa"/>
            <w:gridSpan w:val="2"/>
          </w:tcPr>
          <w:p w14:paraId="4078C8B0">
            <w:pPr>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1、</w:t>
            </w:r>
            <w:r>
              <w:rPr>
                <w:rFonts w:hint="eastAsia" w:asciiTheme="minorEastAsia" w:hAnsiTheme="minorEastAsia" w:eastAsiaTheme="minorEastAsia" w:cstheme="minorEastAsia"/>
                <w:color w:val="auto"/>
                <w:sz w:val="21"/>
                <w:szCs w:val="21"/>
                <w:lang w:eastAsia="zh-CN"/>
              </w:rPr>
              <w:t>供应商</w:t>
            </w:r>
            <w:r>
              <w:rPr>
                <w:rFonts w:hint="eastAsia" w:asciiTheme="minorEastAsia" w:hAnsiTheme="minorEastAsia" w:eastAsiaTheme="minorEastAsia" w:cstheme="minorEastAsia"/>
                <w:color w:val="auto"/>
                <w:sz w:val="21"/>
                <w:szCs w:val="21"/>
              </w:rPr>
              <w:t>数据中心机房场地基础设施符合《数据中心场地基础设施认证技术规范》增强级（GB50174-2017 A 级），并提供证明材料。</w:t>
            </w:r>
          </w:p>
          <w:p w14:paraId="09259319">
            <w:pPr>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2、</w:t>
            </w:r>
            <w:r>
              <w:rPr>
                <w:rFonts w:hint="eastAsia" w:asciiTheme="minorEastAsia" w:hAnsiTheme="minorEastAsia" w:eastAsiaTheme="minorEastAsia" w:cstheme="minorEastAsia"/>
                <w:color w:val="auto"/>
                <w:sz w:val="21"/>
                <w:szCs w:val="21"/>
                <w:lang w:eastAsia="zh-CN"/>
              </w:rPr>
              <w:t>供应商</w:t>
            </w:r>
            <w:r>
              <w:rPr>
                <w:rFonts w:hint="eastAsia" w:asciiTheme="minorEastAsia" w:hAnsiTheme="minorEastAsia" w:eastAsiaTheme="minorEastAsia" w:cstheme="minorEastAsia"/>
                <w:color w:val="auto"/>
                <w:sz w:val="21"/>
                <w:szCs w:val="21"/>
              </w:rPr>
              <w:t>数据中心机房可用性等级达AAAA及以上级别，并提供可用性等级证明材料。</w:t>
            </w:r>
          </w:p>
          <w:p w14:paraId="616C6082">
            <w:pPr>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注：以上证明材料须由中国质量认证中心或工业和信息化部或工业和信息化部下属机构颁发的相关证书。每提供1个得</w:t>
            </w:r>
            <w:r>
              <w:rPr>
                <w:rFonts w:hint="eastAsia" w:asciiTheme="minorEastAsia" w:hAnsiTheme="minorEastAsia" w:eastAsiaTheme="minorEastAsia" w:cstheme="minorEastAsia"/>
                <w:color w:val="auto"/>
                <w:sz w:val="21"/>
                <w:szCs w:val="21"/>
                <w:lang w:val="en-US" w:eastAsia="zh-CN"/>
              </w:rPr>
              <w:t>5</w:t>
            </w:r>
            <w:r>
              <w:rPr>
                <w:rFonts w:hint="eastAsia" w:asciiTheme="minorEastAsia" w:hAnsiTheme="minorEastAsia" w:eastAsiaTheme="minorEastAsia" w:cstheme="minorEastAsia"/>
                <w:color w:val="auto"/>
                <w:sz w:val="21"/>
                <w:szCs w:val="21"/>
              </w:rPr>
              <w:t>分，满分</w:t>
            </w:r>
            <w:r>
              <w:rPr>
                <w:rFonts w:hint="eastAsia" w:asciiTheme="minorEastAsia" w:hAnsiTheme="minorEastAsia" w:eastAsiaTheme="minorEastAsia" w:cstheme="minorEastAsia"/>
                <w:color w:val="auto"/>
                <w:sz w:val="21"/>
                <w:szCs w:val="21"/>
                <w:lang w:val="en-US" w:eastAsia="zh-CN"/>
              </w:rPr>
              <w:t>10</w:t>
            </w:r>
            <w:r>
              <w:rPr>
                <w:rFonts w:hint="eastAsia" w:asciiTheme="minorEastAsia" w:hAnsiTheme="minorEastAsia" w:eastAsiaTheme="minorEastAsia" w:cstheme="minorEastAsia"/>
                <w:color w:val="auto"/>
                <w:sz w:val="21"/>
                <w:szCs w:val="21"/>
              </w:rPr>
              <w:t>分。（提供证书复印件，否则不计分）</w:t>
            </w:r>
          </w:p>
        </w:tc>
      </w:tr>
      <w:tr w14:paraId="1AD3B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9" w:type="dxa"/>
            <w:vMerge w:val="restart"/>
            <w:vAlign w:val="center"/>
          </w:tcPr>
          <w:p w14:paraId="3764A6D9">
            <w:pPr>
              <w:snapToGrid w:val="0"/>
              <w:spacing w:line="360" w:lineRule="auto"/>
              <w:jc w:val="center"/>
              <w:rPr>
                <w:rFonts w:hint="eastAsia"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3.2</w:t>
            </w:r>
          </w:p>
        </w:tc>
        <w:tc>
          <w:tcPr>
            <w:tcW w:w="1140" w:type="dxa"/>
            <w:vMerge w:val="restart"/>
            <w:vAlign w:val="center"/>
          </w:tcPr>
          <w:p w14:paraId="4D77A00B">
            <w:pPr>
              <w:snapToGrid w:val="0"/>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技术服务团队能力</w:t>
            </w:r>
          </w:p>
        </w:tc>
        <w:tc>
          <w:tcPr>
            <w:tcW w:w="638" w:type="dxa"/>
            <w:vAlign w:val="center"/>
          </w:tcPr>
          <w:p w14:paraId="7F2E5E81">
            <w:pPr>
              <w:spacing w:line="360" w:lineRule="auto"/>
              <w:jc w:val="center"/>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5</w:t>
            </w:r>
          </w:p>
        </w:tc>
        <w:tc>
          <w:tcPr>
            <w:tcW w:w="5986" w:type="dxa"/>
            <w:gridSpan w:val="2"/>
          </w:tcPr>
          <w:p w14:paraId="324E53B5">
            <w:pPr>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拟投入的1名技术负责人（不得与项目支撑负责人、售后负责人相同）</w:t>
            </w:r>
            <w:r>
              <w:rPr>
                <w:rFonts w:hint="eastAsia" w:asciiTheme="minorEastAsia" w:hAnsiTheme="minorEastAsia" w:eastAsiaTheme="minorEastAsia" w:cstheme="minorEastAsia"/>
                <w:color w:val="auto"/>
                <w:sz w:val="21"/>
                <w:szCs w:val="21"/>
                <w:lang w:val="en-US" w:eastAsia="zh-CN"/>
              </w:rPr>
              <w:t>具备以下证书，每提供一个证书得1分</w:t>
            </w:r>
            <w:r>
              <w:rPr>
                <w:rFonts w:hint="eastAsia" w:asciiTheme="minorEastAsia" w:hAnsiTheme="minorEastAsia" w:eastAsiaTheme="minorEastAsia" w:cstheme="minorEastAsia"/>
                <w:color w:val="auto"/>
                <w:sz w:val="21"/>
                <w:szCs w:val="21"/>
              </w:rPr>
              <w:t>：</w:t>
            </w:r>
          </w:p>
          <w:p w14:paraId="4E4708A9">
            <w:pPr>
              <w:numPr>
                <w:ilvl w:val="0"/>
                <w:numId w:val="4"/>
              </w:numPr>
              <w:snapToGrid w:val="0"/>
              <w:spacing w:line="360" w:lineRule="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信息与通信工程副高级以上职称证书</w:t>
            </w:r>
            <w:r>
              <w:rPr>
                <w:rFonts w:hint="eastAsia" w:asciiTheme="minorEastAsia" w:hAnsiTheme="minorEastAsia" w:eastAsiaTheme="minorEastAsia" w:cstheme="minorEastAsia"/>
                <w:color w:val="auto"/>
                <w:sz w:val="21"/>
                <w:szCs w:val="21"/>
                <w:lang w:eastAsia="zh-CN"/>
              </w:rPr>
              <w:t>；</w:t>
            </w:r>
          </w:p>
          <w:p w14:paraId="0AA63E57">
            <w:pPr>
              <w:numPr>
                <w:ilvl w:val="0"/>
                <w:numId w:val="4"/>
              </w:numPr>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信息系统项目管理师证书</w:t>
            </w:r>
            <w:r>
              <w:rPr>
                <w:rFonts w:hint="eastAsia" w:asciiTheme="minorEastAsia" w:hAnsiTheme="minorEastAsia" w:eastAsiaTheme="minorEastAsia" w:cstheme="minorEastAsia"/>
                <w:color w:val="auto"/>
                <w:sz w:val="21"/>
                <w:szCs w:val="21"/>
                <w:lang w:eastAsia="zh-CN"/>
              </w:rPr>
              <w:t>；</w:t>
            </w:r>
          </w:p>
          <w:p w14:paraId="7DE040DE">
            <w:pPr>
              <w:numPr>
                <w:ilvl w:val="0"/>
                <w:numId w:val="4"/>
              </w:numPr>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通信专业技术人员职业资格（互联网技术）证书</w:t>
            </w:r>
            <w:r>
              <w:rPr>
                <w:rFonts w:hint="eastAsia" w:asciiTheme="minorEastAsia" w:hAnsiTheme="minorEastAsia" w:eastAsiaTheme="minorEastAsia" w:cstheme="minorEastAsia"/>
                <w:color w:val="auto"/>
                <w:sz w:val="21"/>
                <w:szCs w:val="21"/>
                <w:lang w:eastAsia="zh-CN"/>
              </w:rPr>
              <w:t>；</w:t>
            </w:r>
          </w:p>
          <w:p w14:paraId="233C1C98">
            <w:pPr>
              <w:numPr>
                <w:ilvl w:val="0"/>
                <w:numId w:val="4"/>
              </w:numPr>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网络安全能力认证（CCSC）网络安全技术Ⅰ级及以上证书</w:t>
            </w:r>
            <w:r>
              <w:rPr>
                <w:rFonts w:hint="eastAsia" w:asciiTheme="minorEastAsia" w:hAnsiTheme="minorEastAsia" w:eastAsiaTheme="minorEastAsia" w:cstheme="minorEastAsia"/>
                <w:color w:val="auto"/>
                <w:sz w:val="21"/>
                <w:szCs w:val="21"/>
                <w:lang w:eastAsia="zh-CN"/>
              </w:rPr>
              <w:t>；</w:t>
            </w:r>
          </w:p>
          <w:p w14:paraId="5FE09FCC">
            <w:pPr>
              <w:numPr>
                <w:ilvl w:val="0"/>
                <w:numId w:val="4"/>
              </w:numPr>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lang w:val="en-US"/>
              </w:rPr>
              <w:t>灾备原厂能力认证证书</w:t>
            </w:r>
            <w:r>
              <w:rPr>
                <w:rFonts w:hint="eastAsia" w:asciiTheme="minorEastAsia" w:hAnsiTheme="minorEastAsia" w:eastAsiaTheme="minorEastAsia" w:cstheme="minorEastAsia"/>
                <w:color w:val="auto"/>
                <w:sz w:val="21"/>
                <w:szCs w:val="21"/>
              </w:rPr>
              <w:t>。</w:t>
            </w:r>
          </w:p>
          <w:p w14:paraId="1386E069">
            <w:pPr>
              <w:numPr>
                <w:ilvl w:val="-1"/>
                <w:numId w:val="0"/>
              </w:numPr>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（投标文件提供人员证书复印件和招标文件递交截止时间前半年内连续3个月</w:t>
            </w:r>
            <w:r>
              <w:rPr>
                <w:rFonts w:hint="eastAsia" w:asciiTheme="minorEastAsia" w:hAnsiTheme="minorEastAsia" w:eastAsiaTheme="minorEastAsia" w:cstheme="minorEastAsia"/>
                <w:color w:val="auto"/>
                <w:sz w:val="21"/>
                <w:szCs w:val="21"/>
                <w:lang w:eastAsia="zh-CN"/>
              </w:rPr>
              <w:t>供应商</w:t>
            </w:r>
            <w:r>
              <w:rPr>
                <w:rFonts w:hint="eastAsia" w:asciiTheme="minorEastAsia" w:hAnsiTheme="minorEastAsia" w:eastAsiaTheme="minorEastAsia" w:cstheme="minorEastAsia"/>
                <w:color w:val="auto"/>
                <w:sz w:val="21"/>
                <w:szCs w:val="21"/>
              </w:rPr>
              <w:t>为其缴纳社保证明复印件）。</w:t>
            </w:r>
          </w:p>
          <w:p w14:paraId="2D545444">
            <w:pPr>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备注：未提供的不得分。</w:t>
            </w:r>
          </w:p>
        </w:tc>
      </w:tr>
      <w:tr w14:paraId="386A8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9" w:type="dxa"/>
            <w:vMerge w:val="continue"/>
            <w:vAlign w:val="center"/>
          </w:tcPr>
          <w:p w14:paraId="44EC2B51">
            <w:pPr>
              <w:spacing w:line="360" w:lineRule="auto"/>
              <w:jc w:val="center"/>
              <w:rPr>
                <w:rFonts w:hint="eastAsia" w:asciiTheme="minorEastAsia" w:hAnsiTheme="minorEastAsia" w:eastAsiaTheme="minorEastAsia" w:cstheme="minorEastAsia"/>
                <w:sz w:val="21"/>
                <w:szCs w:val="21"/>
              </w:rPr>
            </w:pPr>
          </w:p>
        </w:tc>
        <w:tc>
          <w:tcPr>
            <w:tcW w:w="1140" w:type="dxa"/>
            <w:vMerge w:val="continue"/>
            <w:vAlign w:val="center"/>
          </w:tcPr>
          <w:p w14:paraId="61895C4E">
            <w:pPr>
              <w:spacing w:before="31" w:beforeLines="10" w:after="30" w:line="360" w:lineRule="auto"/>
              <w:jc w:val="center"/>
              <w:rPr>
                <w:rFonts w:hint="eastAsia" w:asciiTheme="minorEastAsia" w:hAnsiTheme="minorEastAsia" w:eastAsiaTheme="minorEastAsia" w:cstheme="minorEastAsia"/>
                <w:sz w:val="21"/>
                <w:szCs w:val="21"/>
              </w:rPr>
            </w:pPr>
          </w:p>
        </w:tc>
        <w:tc>
          <w:tcPr>
            <w:tcW w:w="638" w:type="dxa"/>
            <w:vAlign w:val="center"/>
          </w:tcPr>
          <w:p w14:paraId="6818217C">
            <w:pPr>
              <w:spacing w:before="31" w:beforeLines="10" w:after="30" w:line="360" w:lineRule="auto"/>
              <w:jc w:val="center"/>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3</w:t>
            </w:r>
          </w:p>
        </w:tc>
        <w:tc>
          <w:tcPr>
            <w:tcW w:w="5986" w:type="dxa"/>
            <w:gridSpan w:val="2"/>
            <w:vAlign w:val="center"/>
          </w:tcPr>
          <w:p w14:paraId="6209BD65">
            <w:pPr>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拟投入的1名项目支撑负责人（不得与技术服务负责人、售后负责人相同）</w:t>
            </w:r>
            <w:r>
              <w:rPr>
                <w:rFonts w:hint="eastAsia" w:asciiTheme="minorEastAsia" w:hAnsiTheme="minorEastAsia" w:eastAsiaTheme="minorEastAsia" w:cstheme="minorEastAsia"/>
                <w:color w:val="auto"/>
                <w:sz w:val="21"/>
                <w:szCs w:val="21"/>
                <w:lang w:val="en-US" w:eastAsia="zh-CN"/>
              </w:rPr>
              <w:t>具备以下证书，每提供一个证书得1分</w:t>
            </w:r>
            <w:r>
              <w:rPr>
                <w:rFonts w:hint="eastAsia" w:asciiTheme="minorEastAsia" w:hAnsiTheme="minorEastAsia" w:eastAsiaTheme="minorEastAsia" w:cstheme="minorEastAsia"/>
                <w:color w:val="auto"/>
                <w:sz w:val="21"/>
                <w:szCs w:val="21"/>
              </w:rPr>
              <w:t>：</w:t>
            </w:r>
          </w:p>
          <w:p w14:paraId="4495F216">
            <w:pPr>
              <w:numPr>
                <w:ilvl w:val="0"/>
                <w:numId w:val="5"/>
              </w:numPr>
              <w:snapToGrid w:val="0"/>
              <w:spacing w:line="360" w:lineRule="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系统架构设计师专业技术资格证书</w:t>
            </w:r>
            <w:r>
              <w:rPr>
                <w:rFonts w:hint="eastAsia" w:asciiTheme="minorEastAsia" w:hAnsiTheme="minorEastAsia" w:eastAsiaTheme="minorEastAsia" w:cstheme="minorEastAsia"/>
                <w:color w:val="auto"/>
                <w:sz w:val="21"/>
                <w:szCs w:val="21"/>
                <w:lang w:eastAsia="zh-CN"/>
              </w:rPr>
              <w:t>；</w:t>
            </w:r>
          </w:p>
          <w:p w14:paraId="7BE69193">
            <w:pPr>
              <w:numPr>
                <w:ilvl w:val="0"/>
                <w:numId w:val="5"/>
              </w:numPr>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数据库系统工程师专业技术资格证书</w:t>
            </w:r>
            <w:r>
              <w:rPr>
                <w:rFonts w:hint="eastAsia" w:asciiTheme="minorEastAsia" w:hAnsiTheme="minorEastAsia" w:eastAsiaTheme="minorEastAsia" w:cstheme="minorEastAsia"/>
                <w:color w:val="auto"/>
                <w:sz w:val="21"/>
                <w:szCs w:val="21"/>
                <w:lang w:eastAsia="zh-CN"/>
              </w:rPr>
              <w:t>；</w:t>
            </w:r>
          </w:p>
          <w:p w14:paraId="376789AB">
            <w:pPr>
              <w:numPr>
                <w:ilvl w:val="0"/>
                <w:numId w:val="5"/>
              </w:numPr>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软件设计师专业技术资格证书</w:t>
            </w:r>
            <w:r>
              <w:rPr>
                <w:rFonts w:hint="eastAsia" w:asciiTheme="minorEastAsia" w:hAnsiTheme="minorEastAsia" w:eastAsiaTheme="minorEastAsia" w:cstheme="minorEastAsia"/>
                <w:color w:val="auto"/>
                <w:sz w:val="21"/>
                <w:szCs w:val="21"/>
                <w:lang w:eastAsia="zh-CN"/>
              </w:rPr>
              <w:t>。</w:t>
            </w:r>
          </w:p>
          <w:p w14:paraId="6AF449F2">
            <w:pPr>
              <w:numPr>
                <w:ilvl w:val="-1"/>
                <w:numId w:val="0"/>
              </w:numPr>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（投标文件提供人员证书复印件和招标文件递交截止时间前半年内连续3个月</w:t>
            </w:r>
            <w:r>
              <w:rPr>
                <w:rFonts w:hint="eastAsia" w:asciiTheme="minorEastAsia" w:hAnsiTheme="minorEastAsia" w:eastAsiaTheme="minorEastAsia" w:cstheme="minorEastAsia"/>
                <w:color w:val="auto"/>
                <w:sz w:val="21"/>
                <w:szCs w:val="21"/>
                <w:lang w:eastAsia="zh-CN"/>
              </w:rPr>
              <w:t>供应商</w:t>
            </w:r>
            <w:r>
              <w:rPr>
                <w:rFonts w:hint="eastAsia" w:asciiTheme="minorEastAsia" w:hAnsiTheme="minorEastAsia" w:eastAsiaTheme="minorEastAsia" w:cstheme="minorEastAsia"/>
                <w:color w:val="auto"/>
                <w:sz w:val="21"/>
                <w:szCs w:val="21"/>
              </w:rPr>
              <w:t>为其缴纳社保证明复印件）。</w:t>
            </w:r>
          </w:p>
          <w:p w14:paraId="33394246">
            <w:pPr>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备注：未提供的不得分。</w:t>
            </w:r>
          </w:p>
        </w:tc>
      </w:tr>
      <w:tr w14:paraId="5B4DA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9" w:type="dxa"/>
            <w:vMerge w:val="continue"/>
            <w:vAlign w:val="center"/>
          </w:tcPr>
          <w:p w14:paraId="1BD944B6">
            <w:pPr>
              <w:spacing w:line="360" w:lineRule="auto"/>
              <w:jc w:val="center"/>
              <w:rPr>
                <w:rFonts w:hint="eastAsia" w:asciiTheme="minorEastAsia" w:hAnsiTheme="minorEastAsia" w:eastAsiaTheme="minorEastAsia" w:cstheme="minorEastAsia"/>
                <w:sz w:val="21"/>
                <w:szCs w:val="21"/>
              </w:rPr>
            </w:pPr>
          </w:p>
        </w:tc>
        <w:tc>
          <w:tcPr>
            <w:tcW w:w="1140" w:type="dxa"/>
            <w:vMerge w:val="continue"/>
            <w:vAlign w:val="center"/>
          </w:tcPr>
          <w:p w14:paraId="75DCD03C">
            <w:pPr>
              <w:spacing w:before="31" w:beforeLines="10" w:after="30" w:line="360" w:lineRule="auto"/>
              <w:jc w:val="center"/>
              <w:rPr>
                <w:rFonts w:hint="eastAsia" w:asciiTheme="minorEastAsia" w:hAnsiTheme="minorEastAsia" w:eastAsiaTheme="minorEastAsia" w:cstheme="minorEastAsia"/>
                <w:sz w:val="21"/>
                <w:szCs w:val="21"/>
              </w:rPr>
            </w:pPr>
          </w:p>
        </w:tc>
        <w:tc>
          <w:tcPr>
            <w:tcW w:w="638" w:type="dxa"/>
            <w:vAlign w:val="center"/>
          </w:tcPr>
          <w:p w14:paraId="281A9AC3">
            <w:pPr>
              <w:spacing w:before="31" w:beforeLines="10" w:after="30" w:line="360" w:lineRule="auto"/>
              <w:jc w:val="center"/>
              <w:rPr>
                <w:rFonts w:hint="eastAsia" w:asciiTheme="minorEastAsia" w:hAnsiTheme="minorEastAsia" w:eastAsiaTheme="minorEastAsia" w:cstheme="minorEastAsia"/>
                <w:bCs/>
                <w:sz w:val="21"/>
                <w:szCs w:val="21"/>
                <w:lang w:val="en-US" w:eastAsia="zh-CN"/>
              </w:rPr>
            </w:pPr>
            <w:r>
              <w:rPr>
                <w:rFonts w:hint="eastAsia" w:asciiTheme="minorEastAsia" w:hAnsiTheme="minorEastAsia" w:eastAsiaTheme="minorEastAsia" w:cstheme="minorEastAsia"/>
                <w:bCs/>
                <w:sz w:val="21"/>
                <w:szCs w:val="21"/>
                <w:lang w:val="en-US" w:eastAsia="zh-CN"/>
              </w:rPr>
              <w:t>3</w:t>
            </w:r>
          </w:p>
        </w:tc>
        <w:tc>
          <w:tcPr>
            <w:tcW w:w="5986" w:type="dxa"/>
            <w:gridSpan w:val="2"/>
            <w:vAlign w:val="center"/>
          </w:tcPr>
          <w:p w14:paraId="0EDAD91B">
            <w:pPr>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拟投入1名售后负责人（不得与技术服务负责人、项目支撑负责人相同）具备</w:t>
            </w:r>
            <w:r>
              <w:rPr>
                <w:rFonts w:hint="eastAsia" w:asciiTheme="minorEastAsia" w:hAnsiTheme="minorEastAsia" w:eastAsiaTheme="minorEastAsia" w:cstheme="minorEastAsia"/>
                <w:color w:val="auto"/>
                <w:sz w:val="21"/>
                <w:szCs w:val="21"/>
                <w:lang w:val="en-US" w:eastAsia="zh-CN"/>
              </w:rPr>
              <w:t>以下证书，每提供一个证书得1分</w:t>
            </w:r>
            <w:r>
              <w:rPr>
                <w:rFonts w:hint="eastAsia" w:asciiTheme="minorEastAsia" w:hAnsiTheme="minorEastAsia" w:eastAsiaTheme="minorEastAsia" w:cstheme="minorEastAsia"/>
                <w:color w:val="auto"/>
                <w:sz w:val="21"/>
                <w:szCs w:val="21"/>
              </w:rPr>
              <w:t>：</w:t>
            </w:r>
          </w:p>
          <w:p w14:paraId="2E9FA511">
            <w:pPr>
              <w:numPr>
                <w:ilvl w:val="0"/>
                <w:numId w:val="6"/>
              </w:numPr>
              <w:snapToGrid w:val="0"/>
              <w:spacing w:line="360" w:lineRule="auto"/>
              <w:rPr>
                <w:rFonts w:hint="eastAsia" w:asciiTheme="minorEastAsia" w:hAnsiTheme="minorEastAsia" w:eastAsiaTheme="minorEastAsia" w:cstheme="minorEastAsia"/>
                <w:color w:val="auto"/>
                <w:sz w:val="21"/>
                <w:szCs w:val="21"/>
                <w:lang w:eastAsia="zh-CN"/>
              </w:rPr>
            </w:pPr>
            <w:r>
              <w:rPr>
                <w:rFonts w:hint="eastAsia" w:asciiTheme="minorEastAsia" w:hAnsiTheme="minorEastAsia" w:eastAsiaTheme="minorEastAsia" w:cstheme="minorEastAsia"/>
                <w:color w:val="auto"/>
                <w:sz w:val="21"/>
                <w:szCs w:val="21"/>
              </w:rPr>
              <w:t>光电信息工程副高级以上职称证书</w:t>
            </w:r>
            <w:r>
              <w:rPr>
                <w:rFonts w:hint="eastAsia" w:asciiTheme="minorEastAsia" w:hAnsiTheme="minorEastAsia" w:eastAsiaTheme="minorEastAsia" w:cstheme="minorEastAsia"/>
                <w:color w:val="auto"/>
                <w:sz w:val="21"/>
                <w:szCs w:val="21"/>
                <w:lang w:eastAsia="zh-CN"/>
              </w:rPr>
              <w:t>；</w:t>
            </w:r>
          </w:p>
          <w:p w14:paraId="08FE25EB">
            <w:pPr>
              <w:numPr>
                <w:ilvl w:val="0"/>
                <w:numId w:val="6"/>
              </w:numPr>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通信工程质量监督工程师证书</w:t>
            </w:r>
            <w:r>
              <w:rPr>
                <w:rFonts w:hint="eastAsia" w:asciiTheme="minorEastAsia" w:hAnsiTheme="minorEastAsia" w:eastAsiaTheme="minorEastAsia" w:cstheme="minorEastAsia"/>
                <w:color w:val="auto"/>
                <w:sz w:val="21"/>
                <w:szCs w:val="21"/>
                <w:lang w:eastAsia="zh-CN"/>
              </w:rPr>
              <w:t>；</w:t>
            </w:r>
          </w:p>
          <w:p w14:paraId="4FB319BC">
            <w:pPr>
              <w:numPr>
                <w:ilvl w:val="0"/>
                <w:numId w:val="6"/>
              </w:numPr>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电信机务员高级职业资格证书</w:t>
            </w:r>
            <w:r>
              <w:rPr>
                <w:rFonts w:hint="eastAsia" w:asciiTheme="minorEastAsia" w:hAnsiTheme="minorEastAsia" w:eastAsiaTheme="minorEastAsia" w:cstheme="minorEastAsia"/>
                <w:color w:val="auto"/>
                <w:sz w:val="21"/>
                <w:szCs w:val="21"/>
                <w:lang w:eastAsia="zh-CN"/>
              </w:rPr>
              <w:t>。</w:t>
            </w:r>
          </w:p>
          <w:p w14:paraId="22ADE4C1">
            <w:pPr>
              <w:numPr>
                <w:ilvl w:val="-1"/>
                <w:numId w:val="0"/>
              </w:numPr>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（投标文件提供人员证书复印件和招标文件递交截止时间前半年内连续3个月</w:t>
            </w:r>
            <w:r>
              <w:rPr>
                <w:rFonts w:hint="eastAsia" w:asciiTheme="minorEastAsia" w:hAnsiTheme="minorEastAsia" w:eastAsiaTheme="minorEastAsia" w:cstheme="minorEastAsia"/>
                <w:color w:val="auto"/>
                <w:sz w:val="21"/>
                <w:szCs w:val="21"/>
                <w:lang w:eastAsia="zh-CN"/>
              </w:rPr>
              <w:t>供应商</w:t>
            </w:r>
            <w:r>
              <w:rPr>
                <w:rFonts w:hint="eastAsia" w:asciiTheme="minorEastAsia" w:hAnsiTheme="minorEastAsia" w:eastAsiaTheme="minorEastAsia" w:cstheme="minorEastAsia"/>
                <w:color w:val="auto"/>
                <w:sz w:val="21"/>
                <w:szCs w:val="21"/>
              </w:rPr>
              <w:t>为其缴纳社保证明复印件）。</w:t>
            </w:r>
          </w:p>
          <w:p w14:paraId="5885BA10">
            <w:pPr>
              <w:snapToGrid w:val="0"/>
              <w:spacing w:line="360" w:lineRule="auto"/>
              <w:rPr>
                <w:rFonts w:hint="eastAsia" w:asciiTheme="minorEastAsia" w:hAnsiTheme="minorEastAsia" w:eastAsiaTheme="minorEastAsia" w:cstheme="minorEastAsia"/>
                <w:color w:val="auto"/>
                <w:sz w:val="21"/>
                <w:szCs w:val="21"/>
              </w:rPr>
            </w:pPr>
            <w:r>
              <w:rPr>
                <w:rFonts w:hint="eastAsia" w:asciiTheme="minorEastAsia" w:hAnsiTheme="minorEastAsia" w:eastAsiaTheme="minorEastAsia" w:cstheme="minorEastAsia"/>
                <w:color w:val="auto"/>
                <w:sz w:val="21"/>
                <w:szCs w:val="21"/>
              </w:rPr>
              <w:t>备注：未提供的不得分。</w:t>
            </w:r>
          </w:p>
        </w:tc>
      </w:tr>
      <w:tr w14:paraId="4519E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1889" w:type="dxa"/>
            <w:gridSpan w:val="2"/>
            <w:vAlign w:val="center"/>
          </w:tcPr>
          <w:p w14:paraId="3E83F468">
            <w:pPr>
              <w:spacing w:before="240" w:after="240"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合计</w:t>
            </w:r>
          </w:p>
        </w:tc>
        <w:tc>
          <w:tcPr>
            <w:tcW w:w="638" w:type="dxa"/>
            <w:vAlign w:val="center"/>
          </w:tcPr>
          <w:p w14:paraId="27E0F50B">
            <w:pPr>
              <w:topLinePunct/>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100</w:t>
            </w:r>
          </w:p>
        </w:tc>
        <w:tc>
          <w:tcPr>
            <w:tcW w:w="5986" w:type="dxa"/>
            <w:gridSpan w:val="2"/>
            <w:vAlign w:val="center"/>
          </w:tcPr>
          <w:p w14:paraId="01A3B2D7">
            <w:pPr>
              <w:tabs>
                <w:tab w:val="left" w:pos="360"/>
              </w:tabs>
              <w:topLinePunct/>
              <w:spacing w:line="360" w:lineRule="auto"/>
              <w:jc w:val="center"/>
              <w:rPr>
                <w:rFonts w:hint="eastAsia" w:asciiTheme="minorEastAsia" w:hAnsiTheme="minorEastAsia" w:eastAsiaTheme="minorEastAsia" w:cstheme="minorEastAsia"/>
                <w:sz w:val="21"/>
                <w:szCs w:val="21"/>
              </w:rPr>
            </w:pPr>
          </w:p>
        </w:tc>
      </w:tr>
    </w:tbl>
    <w:p w14:paraId="5992767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748C8A6"/>
    <w:multiLevelType w:val="singleLevel"/>
    <w:tmpl w:val="D748C8A6"/>
    <w:lvl w:ilvl="0" w:tentative="0">
      <w:start w:val="1"/>
      <w:numFmt w:val="decimal"/>
      <w:suff w:val="nothing"/>
      <w:lvlText w:val="%1、"/>
      <w:lvlJc w:val="left"/>
    </w:lvl>
  </w:abstractNum>
  <w:abstractNum w:abstractNumId="1">
    <w:nsid w:val="EEC95CB3"/>
    <w:multiLevelType w:val="singleLevel"/>
    <w:tmpl w:val="EEC95CB3"/>
    <w:lvl w:ilvl="0" w:tentative="0">
      <w:start w:val="1"/>
      <w:numFmt w:val="decimal"/>
      <w:suff w:val="nothing"/>
      <w:lvlText w:val="%1、"/>
      <w:lvlJc w:val="left"/>
    </w:lvl>
  </w:abstractNum>
  <w:abstractNum w:abstractNumId="2">
    <w:nsid w:val="0A6C36E5"/>
    <w:multiLevelType w:val="singleLevel"/>
    <w:tmpl w:val="0A6C36E5"/>
    <w:lvl w:ilvl="0" w:tentative="0">
      <w:start w:val="1"/>
      <w:numFmt w:val="decimal"/>
      <w:suff w:val="nothing"/>
      <w:lvlText w:val="%1、"/>
      <w:lvlJc w:val="left"/>
    </w:lvl>
  </w:abstractNum>
  <w:abstractNum w:abstractNumId="3">
    <w:nsid w:val="29E4B9F9"/>
    <w:multiLevelType w:val="multilevel"/>
    <w:tmpl w:val="29E4B9F9"/>
    <w:lvl w:ilvl="0" w:tentative="0">
      <w:start w:val="1"/>
      <w:numFmt w:val="chineseCounting"/>
      <w:suff w:val="nothing"/>
      <w:lvlText w:val="%1、"/>
      <w:lvlJc w:val="left"/>
      <w:pPr>
        <w:ind w:left="0" w:firstLine="420"/>
      </w:pPr>
      <w:rPr>
        <w:rFonts w:hint="eastAsia"/>
      </w:rPr>
    </w:lvl>
    <w:lvl w:ilvl="1" w:tentative="0">
      <w:start w:val="1"/>
      <w:numFmt w:val="decimal"/>
      <w:suff w:val="nothing"/>
      <w:lvlText w:val="%2．"/>
      <w:lvlJc w:val="left"/>
      <w:pPr>
        <w:ind w:left="0" w:firstLine="420"/>
      </w:pPr>
      <w:rPr>
        <w:rFonts w:hint="eastAsia"/>
      </w:rPr>
    </w:lvl>
    <w:lvl w:ilvl="2" w:tentative="0">
      <w:start w:val="1"/>
      <w:numFmt w:val="decimal"/>
      <w:suff w:val="nothing"/>
      <w:lvlText w:val="（%3）"/>
      <w:lvlJc w:val="left"/>
      <w:pPr>
        <w:ind w:left="0" w:firstLine="420"/>
      </w:pPr>
      <w:rPr>
        <w:rFonts w:hint="eastAsia"/>
      </w:rPr>
    </w:lvl>
    <w:lvl w:ilvl="3" w:tentative="0">
      <w:start w:val="1"/>
      <w:numFmt w:val="decimalEnclosedCircleChinese"/>
      <w:suff w:val="nothing"/>
      <w:lvlText w:val="%4"/>
      <w:lvlJc w:val="left"/>
      <w:pPr>
        <w:ind w:left="0" w:firstLine="420"/>
      </w:pPr>
      <w:rPr>
        <w:rFonts w:hint="eastAsia"/>
      </w:rPr>
    </w:lvl>
    <w:lvl w:ilvl="4" w:tentative="0">
      <w:start w:val="1"/>
      <w:numFmt w:val="decimal"/>
      <w:suff w:val="nothing"/>
      <w:lvlText w:val="%5）"/>
      <w:lvlJc w:val="left"/>
      <w:pPr>
        <w:ind w:left="0" w:firstLine="420"/>
      </w:pPr>
      <w:rPr>
        <w:rFonts w:hint="eastAsia"/>
      </w:rPr>
    </w:lvl>
    <w:lvl w:ilvl="5" w:tentative="0">
      <w:start w:val="1"/>
      <w:numFmt w:val="lowerLetter"/>
      <w:suff w:val="nothing"/>
      <w:lvlText w:val="%6．"/>
      <w:lvlJc w:val="left"/>
      <w:pPr>
        <w:ind w:left="0" w:firstLine="420"/>
      </w:pPr>
      <w:rPr>
        <w:rFonts w:hint="eastAsia"/>
      </w:rPr>
    </w:lvl>
    <w:lvl w:ilvl="6" w:tentative="0">
      <w:start w:val="1"/>
      <w:numFmt w:val="lowerLetter"/>
      <w:suff w:val="nothing"/>
      <w:lvlText w:val="%7）"/>
      <w:lvlJc w:val="left"/>
      <w:pPr>
        <w:ind w:left="0" w:firstLine="420"/>
      </w:pPr>
      <w:rPr>
        <w:rFonts w:hint="eastAsia"/>
      </w:rPr>
    </w:lvl>
    <w:lvl w:ilvl="7" w:tentative="0">
      <w:start w:val="1"/>
      <w:numFmt w:val="lowerRoman"/>
      <w:suff w:val="nothing"/>
      <w:lvlText w:val="%8．"/>
      <w:lvlJc w:val="left"/>
      <w:pPr>
        <w:ind w:left="0" w:firstLine="420"/>
      </w:pPr>
      <w:rPr>
        <w:rFonts w:hint="eastAsia"/>
      </w:rPr>
    </w:lvl>
    <w:lvl w:ilvl="8" w:tentative="0">
      <w:start w:val="1"/>
      <w:numFmt w:val="lowerRoman"/>
      <w:suff w:val="nothing"/>
      <w:lvlText w:val="%9）"/>
      <w:lvlJc w:val="left"/>
      <w:pPr>
        <w:ind w:left="0" w:firstLine="420"/>
      </w:pPr>
      <w:rPr>
        <w:rFonts w:hint="eastAsia"/>
      </w:rPr>
    </w:lvl>
  </w:abstractNum>
  <w:abstractNum w:abstractNumId="4">
    <w:nsid w:val="4C0196A0"/>
    <w:multiLevelType w:val="singleLevel"/>
    <w:tmpl w:val="4C0196A0"/>
    <w:lvl w:ilvl="0" w:tentative="0">
      <w:start w:val="1"/>
      <w:numFmt w:val="decimal"/>
      <w:suff w:val="nothing"/>
      <w:lvlText w:val="%1、"/>
      <w:lvlJc w:val="left"/>
    </w:lvl>
  </w:abstractNum>
  <w:abstractNum w:abstractNumId="5">
    <w:nsid w:val="75FF7EAA"/>
    <w:multiLevelType w:val="singleLevel"/>
    <w:tmpl w:val="75FF7EAA"/>
    <w:lvl w:ilvl="0" w:tentative="0">
      <w:start w:val="1"/>
      <w:numFmt w:val="decimal"/>
      <w:suff w:val="nothing"/>
      <w:lvlText w:val="%1、"/>
      <w:lvlJc w:val="left"/>
    </w:lvl>
  </w:abstractNum>
  <w:num w:numId="1">
    <w:abstractNumId w:val="3"/>
  </w:num>
  <w:num w:numId="2">
    <w:abstractNumId w:val="0"/>
  </w:num>
  <w:num w:numId="3">
    <w:abstractNumId w:val="5"/>
  </w:num>
  <w:num w:numId="4">
    <w:abstractNumId w:val="1"/>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1039A1"/>
    <w:rsid w:val="000273CC"/>
    <w:rsid w:val="00135575"/>
    <w:rsid w:val="0027544C"/>
    <w:rsid w:val="00293C52"/>
    <w:rsid w:val="004B42FA"/>
    <w:rsid w:val="00A72FD6"/>
    <w:rsid w:val="00B0574B"/>
    <w:rsid w:val="00D6696D"/>
    <w:rsid w:val="00F842BB"/>
    <w:rsid w:val="015B3238"/>
    <w:rsid w:val="02566B8C"/>
    <w:rsid w:val="03D05E5F"/>
    <w:rsid w:val="03E56DE9"/>
    <w:rsid w:val="03EC0177"/>
    <w:rsid w:val="04C71D1F"/>
    <w:rsid w:val="058014BF"/>
    <w:rsid w:val="0836683E"/>
    <w:rsid w:val="087A3B87"/>
    <w:rsid w:val="087D2337"/>
    <w:rsid w:val="099F7A3A"/>
    <w:rsid w:val="0BBC48D3"/>
    <w:rsid w:val="0BCA1968"/>
    <w:rsid w:val="0DC13B67"/>
    <w:rsid w:val="0E0D7668"/>
    <w:rsid w:val="0E9658AF"/>
    <w:rsid w:val="0EA86384"/>
    <w:rsid w:val="0EBE0962"/>
    <w:rsid w:val="0F6E2388"/>
    <w:rsid w:val="1030763E"/>
    <w:rsid w:val="11056D1C"/>
    <w:rsid w:val="11166833"/>
    <w:rsid w:val="11401B02"/>
    <w:rsid w:val="12D06EB6"/>
    <w:rsid w:val="130152C1"/>
    <w:rsid w:val="13523D0B"/>
    <w:rsid w:val="14575AE1"/>
    <w:rsid w:val="15A666C1"/>
    <w:rsid w:val="17B53D0C"/>
    <w:rsid w:val="182B672C"/>
    <w:rsid w:val="1A7030DF"/>
    <w:rsid w:val="1ACB1A35"/>
    <w:rsid w:val="1B8B49EC"/>
    <w:rsid w:val="1C981374"/>
    <w:rsid w:val="1CFA34AD"/>
    <w:rsid w:val="1F9951FF"/>
    <w:rsid w:val="219F0AC7"/>
    <w:rsid w:val="22993768"/>
    <w:rsid w:val="23C3584E"/>
    <w:rsid w:val="26202BCB"/>
    <w:rsid w:val="26602356"/>
    <w:rsid w:val="277A5916"/>
    <w:rsid w:val="27927A0B"/>
    <w:rsid w:val="2B555CA8"/>
    <w:rsid w:val="2B6D12EE"/>
    <w:rsid w:val="2B957702"/>
    <w:rsid w:val="2DD1025A"/>
    <w:rsid w:val="2E6C6067"/>
    <w:rsid w:val="2EFF5585"/>
    <w:rsid w:val="31010E56"/>
    <w:rsid w:val="31DB3455"/>
    <w:rsid w:val="33380434"/>
    <w:rsid w:val="33FC5905"/>
    <w:rsid w:val="35150A2C"/>
    <w:rsid w:val="3601500D"/>
    <w:rsid w:val="36056730"/>
    <w:rsid w:val="36554EEE"/>
    <w:rsid w:val="36687282"/>
    <w:rsid w:val="369D33CF"/>
    <w:rsid w:val="371039A1"/>
    <w:rsid w:val="37321D6A"/>
    <w:rsid w:val="37887016"/>
    <w:rsid w:val="389E24AD"/>
    <w:rsid w:val="39262654"/>
    <w:rsid w:val="397A040E"/>
    <w:rsid w:val="398E6CC1"/>
    <w:rsid w:val="3B7D1C7D"/>
    <w:rsid w:val="3BB75DC8"/>
    <w:rsid w:val="3C473C45"/>
    <w:rsid w:val="3D070F00"/>
    <w:rsid w:val="3D3630FE"/>
    <w:rsid w:val="3EED39A0"/>
    <w:rsid w:val="401B7113"/>
    <w:rsid w:val="40887158"/>
    <w:rsid w:val="40892241"/>
    <w:rsid w:val="40AD2461"/>
    <w:rsid w:val="41284901"/>
    <w:rsid w:val="41782A6F"/>
    <w:rsid w:val="41CE268F"/>
    <w:rsid w:val="42140DB6"/>
    <w:rsid w:val="42F75C15"/>
    <w:rsid w:val="42FA74B4"/>
    <w:rsid w:val="4850390A"/>
    <w:rsid w:val="4A227A1C"/>
    <w:rsid w:val="4DC47546"/>
    <w:rsid w:val="4E8D4155"/>
    <w:rsid w:val="4FFC0D0F"/>
    <w:rsid w:val="50416722"/>
    <w:rsid w:val="505226DD"/>
    <w:rsid w:val="51E624AA"/>
    <w:rsid w:val="5277467D"/>
    <w:rsid w:val="53FE4324"/>
    <w:rsid w:val="55061CE8"/>
    <w:rsid w:val="551C3007"/>
    <w:rsid w:val="574F0E1A"/>
    <w:rsid w:val="578B1394"/>
    <w:rsid w:val="58F509F1"/>
    <w:rsid w:val="58F9747D"/>
    <w:rsid w:val="590B476E"/>
    <w:rsid w:val="5AFD079A"/>
    <w:rsid w:val="5C013209"/>
    <w:rsid w:val="5C2F60B6"/>
    <w:rsid w:val="5C443549"/>
    <w:rsid w:val="5C5B01E8"/>
    <w:rsid w:val="5DF748C4"/>
    <w:rsid w:val="5E2C3B03"/>
    <w:rsid w:val="600A2FD4"/>
    <w:rsid w:val="60197BB5"/>
    <w:rsid w:val="62976675"/>
    <w:rsid w:val="63094E21"/>
    <w:rsid w:val="631E256E"/>
    <w:rsid w:val="64823279"/>
    <w:rsid w:val="65E16C35"/>
    <w:rsid w:val="660404C6"/>
    <w:rsid w:val="679F57B0"/>
    <w:rsid w:val="67F150E4"/>
    <w:rsid w:val="690D143F"/>
    <w:rsid w:val="6A3A6F57"/>
    <w:rsid w:val="6AA06A0F"/>
    <w:rsid w:val="6B5C045C"/>
    <w:rsid w:val="6C951E77"/>
    <w:rsid w:val="6D94212F"/>
    <w:rsid w:val="6E1868BC"/>
    <w:rsid w:val="6EC13892"/>
    <w:rsid w:val="6F060E0B"/>
    <w:rsid w:val="72526EE9"/>
    <w:rsid w:val="72C502DC"/>
    <w:rsid w:val="74E7563D"/>
    <w:rsid w:val="75272014"/>
    <w:rsid w:val="76B91362"/>
    <w:rsid w:val="77530965"/>
    <w:rsid w:val="78AB56FE"/>
    <w:rsid w:val="79196D1B"/>
    <w:rsid w:val="79741E48"/>
    <w:rsid w:val="7B2F1BB4"/>
    <w:rsid w:val="7BB67714"/>
    <w:rsid w:val="7E861620"/>
    <w:rsid w:val="7F3A7C50"/>
    <w:rsid w:val="7FE738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link w:val="10"/>
    <w:qFormat/>
    <w:uiPriority w:val="0"/>
    <w:pPr>
      <w:tabs>
        <w:tab w:val="center" w:pos="4153"/>
        <w:tab w:val="right" w:pos="8306"/>
      </w:tabs>
      <w:snapToGrid w:val="0"/>
      <w:jc w:val="left"/>
    </w:pPr>
    <w:rPr>
      <w:sz w:val="18"/>
      <w:szCs w:val="18"/>
    </w:rPr>
  </w:style>
  <w:style w:type="paragraph" w:styleId="4">
    <w:name w:val="header"/>
    <w:basedOn w:val="1"/>
    <w:link w:val="9"/>
    <w:qFormat/>
    <w:uiPriority w:val="0"/>
    <w:pPr>
      <w:tabs>
        <w:tab w:val="center" w:pos="4153"/>
        <w:tab w:val="right" w:pos="8306"/>
      </w:tabs>
      <w:snapToGrid w:val="0"/>
      <w:jc w:val="center"/>
    </w:pPr>
    <w:rPr>
      <w:sz w:val="18"/>
      <w:szCs w:val="18"/>
    </w:rPr>
  </w:style>
  <w:style w:type="paragraph" w:styleId="5">
    <w:name w:val="Normal (Web)"/>
    <w:basedOn w:val="1"/>
    <w:qFormat/>
    <w:uiPriority w:val="0"/>
    <w:pPr>
      <w:spacing w:beforeAutospacing="1" w:afterAutospacing="1"/>
      <w:jc w:val="left"/>
    </w:pPr>
    <w:rPr>
      <w:kern w:val="0"/>
      <w:sz w:val="24"/>
    </w:r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眉 字符"/>
    <w:basedOn w:val="8"/>
    <w:link w:val="4"/>
    <w:qFormat/>
    <w:uiPriority w:val="0"/>
    <w:rPr>
      <w:kern w:val="2"/>
      <w:sz w:val="18"/>
      <w:szCs w:val="18"/>
    </w:rPr>
  </w:style>
  <w:style w:type="character" w:customStyle="1" w:styleId="10">
    <w:name w:val="页脚 字符"/>
    <w:basedOn w:val="8"/>
    <w:link w:val="3"/>
    <w:qFormat/>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1623</Words>
  <Characters>1672</Characters>
  <Lines>14</Lines>
  <Paragraphs>4</Paragraphs>
  <TotalTime>9</TotalTime>
  <ScaleCrop>false</ScaleCrop>
  <LinksUpToDate>false</LinksUpToDate>
  <CharactersWithSpaces>1675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2026-08-31T10:10:00Z</dcterms:created>
  <dc:creator>西门吹水</dc:creator>
  <cp:lastModifiedBy>我爱熊猫</cp:lastModifiedBy>
  <dcterms:modified xsi:type="dcterms:W3CDTF">2026-10-21T07:55:32Z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50A5AB77F6A24863AF119AD6184923F8_13</vt:lpwstr>
  </property>
  <property fmtid="{D5CDD505-2E9C-101B-9397-08002B2CF9AE}" pid="4" name="KSOTemplateDocerSaveRecord">
    <vt:lpwstr>eyJoZGlkIjoiYzRlYzk2ZGE4ZTc3YmQ2YzUwOTE0NThjY2Q0NjA3YjEiLCJ1c2VySWQiOiIyMzc0MzQyMjEifQ==</vt:lpwstr>
  </property>
</Properties>
</file>