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D5C98A">
      <w:pPr>
        <w:jc w:val="center"/>
        <w:rPr>
          <w:rFonts w:hint="eastAsia"/>
          <w:b/>
          <w:bCs/>
          <w:sz w:val="36"/>
          <w:szCs w:val="36"/>
          <w:lang w:val="en-US" w:eastAsia="zh-CN"/>
        </w:rPr>
      </w:pPr>
      <w:bookmarkStart w:id="0" w:name="_GoBack"/>
      <w:r>
        <w:rPr>
          <w:rFonts w:hint="eastAsia"/>
          <w:b/>
          <w:bCs/>
          <w:sz w:val="36"/>
          <w:szCs w:val="36"/>
          <w:lang w:val="en-US" w:eastAsia="zh-CN"/>
        </w:rPr>
        <w:t>乳腺治疗系统（治疗仪）</w:t>
      </w:r>
    </w:p>
    <w:p w14:paraId="133E5E8F">
      <w:pPr>
        <w:jc w:val="center"/>
        <w:rPr>
          <w:rFonts w:hint="eastAsia"/>
          <w:b/>
          <w:bCs/>
          <w:sz w:val="36"/>
          <w:szCs w:val="36"/>
          <w:lang w:val="en-US" w:eastAsia="zh-CN"/>
        </w:rPr>
      </w:pPr>
      <w:r>
        <w:rPr>
          <w:rFonts w:hint="eastAsia"/>
          <w:b/>
          <w:bCs/>
          <w:sz w:val="36"/>
          <w:szCs w:val="36"/>
        </w:rPr>
        <w:t>采购技术参数需求</w:t>
      </w:r>
      <w:r>
        <w:rPr>
          <w:rFonts w:hint="eastAsia"/>
          <w:b/>
          <w:bCs/>
          <w:sz w:val="36"/>
          <w:szCs w:val="36"/>
          <w:lang w:val="en-US" w:eastAsia="zh-CN"/>
        </w:rPr>
        <w:t>及商务要求</w:t>
      </w:r>
    </w:p>
    <w:bookmarkEnd w:id="0"/>
    <w:p w14:paraId="7267D2E2">
      <w:pPr>
        <w:jc w:val="both"/>
        <w:rPr>
          <w:rFonts w:hint="eastAsia" w:eastAsiaTheme="minorEastAsia"/>
          <w:b/>
          <w:bCs/>
          <w:sz w:val="24"/>
          <w:szCs w:val="24"/>
          <w:lang w:val="en-US" w:eastAsia="zh-CN"/>
        </w:rPr>
      </w:pPr>
      <w:r>
        <w:rPr>
          <w:rFonts w:hint="eastAsia"/>
          <w:b/>
          <w:bCs/>
          <w:sz w:val="24"/>
          <w:szCs w:val="24"/>
        </w:rPr>
        <w:t>技术参数</w:t>
      </w:r>
      <w:r>
        <w:rPr>
          <w:rFonts w:hint="eastAsia"/>
          <w:b/>
          <w:bCs/>
          <w:sz w:val="24"/>
          <w:szCs w:val="24"/>
          <w:lang w:eastAsia="zh-CN"/>
        </w:rPr>
        <w:t>：</w:t>
      </w:r>
    </w:p>
    <w:p w14:paraId="20DA1DAA">
      <w:pPr>
        <w:pStyle w:val="2"/>
        <w:keepNext w:val="0"/>
        <w:keepLines w:val="0"/>
        <w:widowControl/>
        <w:suppressLineNumbers w:val="0"/>
        <w:spacing w:before="60" w:beforeAutospacing="0" w:after="60" w:afterAutospacing="0" w:line="288" w:lineRule="atLeast"/>
        <w:ind w:left="0" w:right="0" w:firstLine="0"/>
        <w:rPr>
          <w:rFonts w:ascii="sans-serif" w:hAnsi="sans-serif" w:eastAsia="sans-serif" w:cs="sans-serif"/>
          <w:i w:val="0"/>
          <w:iCs w:val="0"/>
          <w:caps w:val="0"/>
          <w:color w:val="000000"/>
          <w:spacing w:val="0"/>
          <w:sz w:val="24"/>
          <w:szCs w:val="24"/>
        </w:rPr>
      </w:pPr>
      <w:r>
        <w:rPr>
          <w:rStyle w:val="5"/>
          <w:rFonts w:hint="eastAsia" w:ascii="宋体" w:hAnsi="宋体" w:eastAsia="宋体" w:cs="宋体"/>
          <w:b/>
          <w:bCs/>
          <w:i w:val="0"/>
          <w:iCs w:val="0"/>
          <w:caps w:val="0"/>
          <w:color w:val="000000"/>
          <w:spacing w:val="0"/>
          <w:sz w:val="22"/>
          <w:szCs w:val="22"/>
        </w:rPr>
        <w:t>一、控制系统：</w:t>
      </w:r>
    </w:p>
    <w:p w14:paraId="146DD3E0">
      <w:pPr>
        <w:pStyle w:val="2"/>
        <w:keepNext w:val="0"/>
        <w:keepLines w:val="0"/>
        <w:widowControl/>
        <w:suppressLineNumbers w:val="0"/>
        <w:spacing w:before="60" w:beforeAutospacing="0" w:after="60" w:afterAutospacing="0" w:line="288" w:lineRule="atLeast"/>
        <w:ind w:left="0" w:right="0" w:firstLine="0"/>
        <w:rPr>
          <w:rFonts w:hint="default" w:ascii="sans-serif" w:hAnsi="sans-serif" w:eastAsia="sans-serif" w:cs="sans-serif"/>
          <w:i w:val="0"/>
          <w:iCs w:val="0"/>
          <w:caps w:val="0"/>
          <w:color w:val="000000"/>
          <w:spacing w:val="0"/>
          <w:sz w:val="21"/>
          <w:szCs w:val="21"/>
        </w:rPr>
      </w:pPr>
      <w:r>
        <w:rPr>
          <w:rFonts w:hint="eastAsia" w:ascii="宋体" w:hAnsi="宋体" w:eastAsia="宋体" w:cs="宋体"/>
          <w:i w:val="0"/>
          <w:iCs w:val="0"/>
          <w:caps w:val="0"/>
          <w:color w:val="000000"/>
          <w:spacing w:val="0"/>
          <w:sz w:val="21"/>
          <w:szCs w:val="21"/>
        </w:rPr>
        <w:t>1、基于数字化智能操作系统平台，设备功能可随控制系统软件免费升级，系统具备远程联网功能，可实现远程设备功能自检并远程故障修复（需要医院依规核准合法上网）；</w:t>
      </w:r>
    </w:p>
    <w:p w14:paraId="1E90885C">
      <w:pPr>
        <w:pStyle w:val="2"/>
        <w:keepNext w:val="0"/>
        <w:keepLines w:val="0"/>
        <w:widowControl/>
        <w:suppressLineNumbers w:val="0"/>
        <w:spacing w:before="60" w:beforeAutospacing="0" w:after="60" w:afterAutospacing="0" w:line="288" w:lineRule="atLeast"/>
        <w:ind w:left="0" w:right="0" w:firstLine="0"/>
        <w:rPr>
          <w:rFonts w:hint="default" w:ascii="sans-serif" w:hAnsi="sans-serif" w:eastAsia="sans-serif" w:cs="sans-serif"/>
          <w:i w:val="0"/>
          <w:iCs w:val="0"/>
          <w:caps w:val="0"/>
          <w:color w:val="000000"/>
          <w:spacing w:val="0"/>
          <w:sz w:val="21"/>
          <w:szCs w:val="21"/>
        </w:rPr>
      </w:pPr>
      <w:r>
        <w:rPr>
          <w:rFonts w:hint="eastAsia" w:ascii="宋体" w:hAnsi="宋体" w:eastAsia="宋体" w:cs="宋体"/>
          <w:i w:val="0"/>
          <w:iCs w:val="0"/>
          <w:caps w:val="0"/>
          <w:color w:val="000000"/>
          <w:spacing w:val="0"/>
          <w:sz w:val="21"/>
          <w:szCs w:val="21"/>
        </w:rPr>
        <w:t>2、系统全部数据可无线传输至外存储器备份，避免设备故障造成的患者记录丢失；</w:t>
      </w:r>
    </w:p>
    <w:p w14:paraId="55C0FC0C">
      <w:pPr>
        <w:pStyle w:val="2"/>
        <w:keepNext w:val="0"/>
        <w:keepLines w:val="0"/>
        <w:widowControl/>
        <w:suppressLineNumbers w:val="0"/>
        <w:spacing w:before="60" w:beforeAutospacing="0" w:after="60" w:afterAutospacing="0" w:line="288" w:lineRule="atLeast"/>
        <w:ind w:left="0" w:right="0" w:firstLine="0"/>
        <w:rPr>
          <w:rFonts w:hint="default" w:ascii="sans-serif" w:hAnsi="sans-serif" w:eastAsia="sans-serif" w:cs="sans-serif"/>
          <w:i w:val="0"/>
          <w:iCs w:val="0"/>
          <w:caps w:val="0"/>
          <w:color w:val="000000"/>
          <w:spacing w:val="0"/>
          <w:sz w:val="21"/>
          <w:szCs w:val="21"/>
        </w:rPr>
      </w:pPr>
      <w:r>
        <w:rPr>
          <w:rFonts w:hint="eastAsia" w:ascii="宋体" w:hAnsi="宋体" w:eastAsia="宋体" w:cs="宋体"/>
          <w:i w:val="0"/>
          <w:iCs w:val="0"/>
          <w:caps w:val="0"/>
          <w:color w:val="000000"/>
          <w:spacing w:val="0"/>
          <w:sz w:val="21"/>
          <w:szCs w:val="21"/>
        </w:rPr>
        <w:t>3、具备扩展编程功能，可增加通用性自定义治疗方案，本机存储并随时调用；</w:t>
      </w:r>
    </w:p>
    <w:p w14:paraId="5BE03C6F">
      <w:pPr>
        <w:pStyle w:val="2"/>
        <w:keepNext w:val="0"/>
        <w:keepLines w:val="0"/>
        <w:widowControl/>
        <w:suppressLineNumbers w:val="0"/>
        <w:spacing w:before="60" w:beforeAutospacing="0" w:after="60" w:afterAutospacing="0" w:line="288" w:lineRule="atLeast"/>
        <w:ind w:left="0" w:right="0" w:firstLine="0"/>
        <w:rPr>
          <w:rFonts w:hint="default" w:ascii="sans-serif" w:hAnsi="sans-serif" w:eastAsia="sans-serif" w:cs="sans-serif"/>
          <w:i w:val="0"/>
          <w:iCs w:val="0"/>
          <w:caps w:val="0"/>
          <w:color w:val="000000"/>
          <w:spacing w:val="0"/>
          <w:sz w:val="21"/>
          <w:szCs w:val="21"/>
        </w:rPr>
      </w:pPr>
      <w:r>
        <w:rPr>
          <w:rFonts w:hint="eastAsia" w:ascii="宋体" w:hAnsi="宋体" w:eastAsia="宋体" w:cs="宋体"/>
          <w:i w:val="0"/>
          <w:iCs w:val="0"/>
          <w:caps w:val="0"/>
          <w:color w:val="000000"/>
          <w:spacing w:val="0"/>
          <w:sz w:val="21"/>
          <w:szCs w:val="21"/>
        </w:rPr>
        <w:t>4、设备系统内置操作培训视频，可随时观看学习；</w:t>
      </w:r>
    </w:p>
    <w:p w14:paraId="02DBE2C5">
      <w:pPr>
        <w:pStyle w:val="2"/>
        <w:keepNext w:val="0"/>
        <w:keepLines w:val="0"/>
        <w:widowControl/>
        <w:suppressLineNumbers w:val="0"/>
        <w:spacing w:before="60" w:beforeAutospacing="0" w:after="60" w:afterAutospacing="0" w:line="288" w:lineRule="atLeast"/>
        <w:ind w:left="0" w:right="0" w:firstLine="0"/>
        <w:rPr>
          <w:rFonts w:hint="default" w:ascii="sans-serif" w:hAnsi="sans-serif" w:eastAsia="sans-serif" w:cs="sans-serif"/>
          <w:i w:val="0"/>
          <w:iCs w:val="0"/>
          <w:caps w:val="0"/>
          <w:color w:val="000000"/>
          <w:spacing w:val="0"/>
          <w:sz w:val="24"/>
          <w:szCs w:val="24"/>
        </w:rPr>
      </w:pPr>
      <w:r>
        <w:rPr>
          <w:rStyle w:val="5"/>
          <w:rFonts w:hint="eastAsia" w:ascii="宋体" w:hAnsi="宋体" w:eastAsia="宋体" w:cs="宋体"/>
          <w:b/>
          <w:bCs/>
          <w:i w:val="0"/>
          <w:iCs w:val="0"/>
          <w:caps w:val="0"/>
          <w:color w:val="000000"/>
          <w:spacing w:val="0"/>
          <w:sz w:val="22"/>
          <w:szCs w:val="22"/>
        </w:rPr>
        <w:t>二、设备功能：</w:t>
      </w:r>
    </w:p>
    <w:p w14:paraId="245760D4">
      <w:pPr>
        <w:pStyle w:val="2"/>
        <w:keepNext w:val="0"/>
        <w:keepLines w:val="0"/>
        <w:widowControl/>
        <w:suppressLineNumbers w:val="0"/>
        <w:spacing w:before="60" w:beforeAutospacing="0" w:after="60" w:afterAutospacing="0" w:line="288" w:lineRule="atLeast"/>
        <w:ind w:left="0" w:right="0" w:firstLine="0"/>
        <w:rPr>
          <w:rFonts w:hint="default" w:ascii="sans-serif" w:hAnsi="sans-serif" w:eastAsia="sans-serif" w:cs="sans-serif"/>
          <w:i w:val="0"/>
          <w:iCs w:val="0"/>
          <w:caps w:val="0"/>
          <w:color w:val="000000"/>
          <w:spacing w:val="0"/>
          <w:sz w:val="21"/>
          <w:szCs w:val="21"/>
        </w:rPr>
      </w:pPr>
      <w:r>
        <w:rPr>
          <w:rFonts w:hint="eastAsia" w:ascii="宋体" w:hAnsi="宋体" w:eastAsia="宋体" w:cs="宋体"/>
          <w:i w:val="0"/>
          <w:iCs w:val="0"/>
          <w:caps w:val="0"/>
          <w:color w:val="000000"/>
          <w:spacing w:val="0"/>
          <w:sz w:val="21"/>
          <w:szCs w:val="21"/>
        </w:rPr>
        <w:t>1、具备数字化患者治疗登记与记录存储功能，可实现汉字实名录入；</w:t>
      </w:r>
    </w:p>
    <w:p w14:paraId="38ACC252">
      <w:pPr>
        <w:pStyle w:val="2"/>
        <w:keepNext w:val="0"/>
        <w:keepLines w:val="0"/>
        <w:widowControl/>
        <w:suppressLineNumbers w:val="0"/>
        <w:spacing w:before="60" w:beforeAutospacing="0" w:after="60" w:afterAutospacing="0" w:line="288" w:lineRule="atLeast"/>
        <w:ind w:left="0" w:right="0" w:firstLine="0"/>
        <w:rPr>
          <w:rFonts w:hint="default" w:ascii="sans-serif" w:hAnsi="sans-serif" w:eastAsia="sans-serif" w:cs="sans-serif"/>
          <w:i w:val="0"/>
          <w:iCs w:val="0"/>
          <w:caps w:val="0"/>
          <w:color w:val="000000"/>
          <w:spacing w:val="0"/>
          <w:sz w:val="21"/>
          <w:szCs w:val="21"/>
        </w:rPr>
      </w:pPr>
      <w:r>
        <w:rPr>
          <w:rFonts w:hint="eastAsia" w:ascii="宋体" w:hAnsi="宋体" w:eastAsia="宋体" w:cs="宋体"/>
          <w:i w:val="0"/>
          <w:iCs w:val="0"/>
          <w:caps w:val="0"/>
          <w:color w:val="000000"/>
          <w:spacing w:val="0"/>
          <w:sz w:val="21"/>
          <w:szCs w:val="21"/>
        </w:rPr>
        <w:t>2、可根据患者临床诊断，由主诊医生创建以患者本人姓名为标题的治疗方案，存储于本机，在患者治疗时随时调取使用；专用乳腺导管灌注辅助程序；</w:t>
      </w:r>
    </w:p>
    <w:p w14:paraId="59A2D272">
      <w:pPr>
        <w:pStyle w:val="2"/>
        <w:keepNext w:val="0"/>
        <w:keepLines w:val="0"/>
        <w:widowControl/>
        <w:suppressLineNumbers w:val="0"/>
        <w:spacing w:before="60" w:beforeAutospacing="0" w:after="60" w:afterAutospacing="0" w:line="288" w:lineRule="atLeast"/>
        <w:ind w:left="0" w:right="0" w:firstLine="0"/>
        <w:rPr>
          <w:rFonts w:hint="default" w:ascii="sans-serif" w:hAnsi="sans-serif" w:eastAsia="sans-serif" w:cs="sans-serif"/>
          <w:i w:val="0"/>
          <w:iCs w:val="0"/>
          <w:caps w:val="0"/>
          <w:color w:val="000000"/>
          <w:spacing w:val="0"/>
          <w:sz w:val="21"/>
          <w:szCs w:val="21"/>
        </w:rPr>
      </w:pPr>
      <w:r>
        <w:rPr>
          <w:rFonts w:hint="eastAsia" w:ascii="宋体" w:hAnsi="宋体" w:eastAsia="宋体" w:cs="宋体"/>
          <w:i w:val="0"/>
          <w:iCs w:val="0"/>
          <w:caps w:val="0"/>
          <w:color w:val="000000"/>
          <w:spacing w:val="0"/>
          <w:sz w:val="21"/>
          <w:szCs w:val="21"/>
        </w:rPr>
        <w:t>3、所有患者治疗记录与治疗参数均可经蓝牙无线导出，为临床总结或者研究工作提供必要基础数据条件；</w:t>
      </w:r>
    </w:p>
    <w:p w14:paraId="4554CBDB">
      <w:pPr>
        <w:pStyle w:val="2"/>
        <w:keepNext w:val="0"/>
        <w:keepLines w:val="0"/>
        <w:widowControl/>
        <w:suppressLineNumbers w:val="0"/>
        <w:spacing w:before="60" w:beforeAutospacing="0" w:after="60" w:afterAutospacing="0" w:line="288" w:lineRule="atLeast"/>
        <w:ind w:left="0" w:right="0" w:firstLine="0"/>
        <w:rPr>
          <w:rFonts w:hint="default" w:ascii="sans-serif" w:hAnsi="sans-serif" w:eastAsia="sans-serif" w:cs="sans-serif"/>
          <w:i w:val="0"/>
          <w:iCs w:val="0"/>
          <w:caps w:val="0"/>
          <w:color w:val="000000"/>
          <w:spacing w:val="0"/>
          <w:sz w:val="21"/>
          <w:szCs w:val="21"/>
        </w:rPr>
      </w:pPr>
      <w:r>
        <w:rPr>
          <w:rFonts w:hint="eastAsia" w:ascii="宋体" w:hAnsi="宋体" w:eastAsia="宋体" w:cs="宋体"/>
          <w:i w:val="0"/>
          <w:iCs w:val="0"/>
          <w:caps w:val="0"/>
          <w:color w:val="000000"/>
          <w:spacing w:val="0"/>
          <w:sz w:val="21"/>
          <w:szCs w:val="21"/>
        </w:rPr>
        <w:t>4、独立双治疗单元，工作互不干扰，支持4个治疗端口同时输出；</w:t>
      </w:r>
    </w:p>
    <w:p w14:paraId="7C1DDCE7">
      <w:pPr>
        <w:pStyle w:val="2"/>
        <w:keepNext w:val="0"/>
        <w:keepLines w:val="0"/>
        <w:widowControl/>
        <w:suppressLineNumbers w:val="0"/>
        <w:spacing w:before="60" w:beforeAutospacing="0" w:after="60" w:afterAutospacing="0" w:line="288" w:lineRule="atLeast"/>
        <w:ind w:left="0" w:right="0" w:firstLine="0"/>
        <w:rPr>
          <w:rFonts w:hint="default" w:ascii="sans-serif" w:hAnsi="sans-serif" w:eastAsia="sans-serif" w:cs="sans-serif"/>
          <w:i w:val="0"/>
          <w:iCs w:val="0"/>
          <w:caps w:val="0"/>
          <w:color w:val="000000"/>
          <w:spacing w:val="0"/>
          <w:sz w:val="21"/>
          <w:szCs w:val="21"/>
        </w:rPr>
      </w:pPr>
      <w:r>
        <w:rPr>
          <w:rFonts w:hint="eastAsia" w:ascii="宋体" w:hAnsi="宋体" w:eastAsia="宋体" w:cs="宋体"/>
          <w:i w:val="0"/>
          <w:iCs w:val="0"/>
          <w:caps w:val="0"/>
          <w:color w:val="000000"/>
          <w:spacing w:val="0"/>
          <w:sz w:val="21"/>
          <w:szCs w:val="21"/>
        </w:rPr>
        <w:t>5、系统界面显示；患者信息，治疗倒计时，当前治疗通道，治疗力度，治疗模式等；</w:t>
      </w:r>
    </w:p>
    <w:p w14:paraId="62C01C1C">
      <w:pPr>
        <w:pStyle w:val="2"/>
        <w:keepNext w:val="0"/>
        <w:keepLines w:val="0"/>
        <w:widowControl/>
        <w:suppressLineNumbers w:val="0"/>
        <w:spacing w:before="60" w:beforeAutospacing="0" w:after="60" w:afterAutospacing="0" w:line="288" w:lineRule="atLeast"/>
        <w:ind w:left="0" w:right="0" w:firstLine="0"/>
        <w:rPr>
          <w:rFonts w:hint="default" w:ascii="sans-serif" w:hAnsi="sans-serif" w:eastAsia="sans-serif" w:cs="sans-serif"/>
          <w:i w:val="0"/>
          <w:iCs w:val="0"/>
          <w:caps w:val="0"/>
          <w:color w:val="000000"/>
          <w:spacing w:val="0"/>
          <w:sz w:val="24"/>
          <w:szCs w:val="24"/>
        </w:rPr>
      </w:pPr>
      <w:r>
        <w:rPr>
          <w:rStyle w:val="5"/>
          <w:rFonts w:hint="eastAsia" w:ascii="宋体" w:hAnsi="宋体" w:eastAsia="宋体" w:cs="宋体"/>
          <w:b/>
          <w:bCs/>
          <w:i w:val="0"/>
          <w:iCs w:val="0"/>
          <w:caps w:val="0"/>
          <w:color w:val="000000"/>
          <w:spacing w:val="0"/>
          <w:sz w:val="22"/>
          <w:szCs w:val="22"/>
        </w:rPr>
        <w:t>三、触控屏与交互式操作：</w:t>
      </w:r>
    </w:p>
    <w:p w14:paraId="50DEA7B5">
      <w:pPr>
        <w:pStyle w:val="2"/>
        <w:keepNext w:val="0"/>
        <w:keepLines w:val="0"/>
        <w:widowControl/>
        <w:suppressLineNumbers w:val="0"/>
        <w:spacing w:before="60" w:beforeAutospacing="0" w:after="60" w:afterAutospacing="0" w:line="288" w:lineRule="atLeast"/>
        <w:ind w:left="0" w:right="0" w:firstLine="0"/>
        <w:rPr>
          <w:rFonts w:hint="default" w:ascii="sans-serif" w:hAnsi="sans-serif" w:eastAsia="sans-serif" w:cs="sans-serif"/>
          <w:i w:val="0"/>
          <w:iCs w:val="0"/>
          <w:caps w:val="0"/>
          <w:color w:val="000000"/>
          <w:spacing w:val="0"/>
          <w:sz w:val="21"/>
          <w:szCs w:val="21"/>
        </w:rPr>
      </w:pPr>
      <w:r>
        <w:rPr>
          <w:rFonts w:hint="eastAsia" w:ascii="宋体" w:hAnsi="宋体" w:eastAsia="宋体" w:cs="宋体"/>
          <w:i w:val="0"/>
          <w:iCs w:val="0"/>
          <w:caps w:val="0"/>
          <w:color w:val="000000"/>
          <w:spacing w:val="0"/>
          <w:sz w:val="21"/>
          <w:szCs w:val="21"/>
        </w:rPr>
        <w:t>1、采用独立芯片控制的高清触控屏，所有设备操作均可视化触控完成，简便直观；</w:t>
      </w:r>
    </w:p>
    <w:p w14:paraId="20507DB4">
      <w:pPr>
        <w:pStyle w:val="2"/>
        <w:keepNext w:val="0"/>
        <w:keepLines w:val="0"/>
        <w:widowControl/>
        <w:suppressLineNumbers w:val="0"/>
        <w:spacing w:before="60" w:beforeAutospacing="0" w:after="60" w:afterAutospacing="0" w:line="288" w:lineRule="atLeast"/>
        <w:ind w:left="0" w:right="0" w:firstLine="0"/>
        <w:rPr>
          <w:rFonts w:hint="default" w:ascii="sans-serif" w:hAnsi="sans-serif" w:eastAsia="sans-serif" w:cs="sans-serif"/>
          <w:i w:val="0"/>
          <w:iCs w:val="0"/>
          <w:caps w:val="0"/>
          <w:color w:val="000000"/>
          <w:spacing w:val="0"/>
          <w:sz w:val="21"/>
          <w:szCs w:val="21"/>
        </w:rPr>
      </w:pPr>
      <w:r>
        <w:rPr>
          <w:rFonts w:hint="eastAsia" w:ascii="宋体" w:hAnsi="宋体" w:eastAsia="宋体" w:cs="宋体"/>
          <w:i w:val="0"/>
          <w:iCs w:val="0"/>
          <w:caps w:val="0"/>
          <w:color w:val="000000"/>
          <w:spacing w:val="0"/>
          <w:sz w:val="21"/>
          <w:szCs w:val="21"/>
        </w:rPr>
        <w:t>2、汉字、字母、数字、特殊符号均可输入，可播放操作培训视频，设备操作无需外接物理控制键盘或者落后易损的薄膜按键；</w:t>
      </w:r>
    </w:p>
    <w:p w14:paraId="7A632D8A">
      <w:pPr>
        <w:pStyle w:val="2"/>
        <w:keepNext w:val="0"/>
        <w:keepLines w:val="0"/>
        <w:widowControl/>
        <w:suppressLineNumbers w:val="0"/>
        <w:spacing w:before="60" w:beforeAutospacing="0" w:after="60" w:afterAutospacing="0" w:line="288" w:lineRule="atLeast"/>
        <w:ind w:left="0" w:right="0" w:firstLine="0"/>
        <w:rPr>
          <w:rFonts w:hint="default" w:ascii="sans-serif" w:hAnsi="sans-serif" w:eastAsia="sans-serif" w:cs="sans-serif"/>
          <w:i w:val="0"/>
          <w:iCs w:val="0"/>
          <w:caps w:val="0"/>
          <w:color w:val="000000"/>
          <w:spacing w:val="0"/>
          <w:sz w:val="21"/>
          <w:szCs w:val="21"/>
        </w:rPr>
      </w:pPr>
      <w:r>
        <w:rPr>
          <w:rFonts w:hint="eastAsia" w:ascii="宋体" w:hAnsi="宋体" w:eastAsia="宋体" w:cs="宋体"/>
          <w:i w:val="0"/>
          <w:iCs w:val="0"/>
          <w:caps w:val="0"/>
          <w:color w:val="000000"/>
          <w:spacing w:val="0"/>
          <w:sz w:val="21"/>
          <w:szCs w:val="21"/>
        </w:rPr>
        <w:t>3、TFT-LCD背光液晶；≥17 英寸，亮度极限值&gt;250cd/㎡；可视角度：85/85/80/80；</w:t>
      </w:r>
    </w:p>
    <w:p w14:paraId="71534F23">
      <w:pPr>
        <w:pStyle w:val="2"/>
        <w:keepNext w:val="0"/>
        <w:keepLines w:val="0"/>
        <w:widowControl/>
        <w:suppressLineNumbers w:val="0"/>
        <w:spacing w:before="60" w:beforeAutospacing="0" w:after="60" w:afterAutospacing="0" w:line="288" w:lineRule="atLeast"/>
        <w:ind w:left="0" w:right="0" w:firstLine="0"/>
        <w:rPr>
          <w:rFonts w:hint="default" w:ascii="sans-serif" w:hAnsi="sans-serif" w:eastAsia="sans-serif" w:cs="sans-serif"/>
          <w:i w:val="0"/>
          <w:iCs w:val="0"/>
          <w:caps w:val="0"/>
          <w:color w:val="000000"/>
          <w:spacing w:val="0"/>
          <w:sz w:val="24"/>
          <w:szCs w:val="24"/>
        </w:rPr>
      </w:pPr>
      <w:r>
        <w:rPr>
          <w:rStyle w:val="5"/>
          <w:rFonts w:hint="eastAsia" w:ascii="宋体" w:hAnsi="宋体" w:eastAsia="宋体" w:cs="宋体"/>
          <w:b/>
          <w:bCs/>
          <w:i w:val="0"/>
          <w:iCs w:val="0"/>
          <w:caps w:val="0"/>
          <w:color w:val="000000"/>
          <w:spacing w:val="0"/>
          <w:sz w:val="22"/>
          <w:szCs w:val="22"/>
        </w:rPr>
        <w:t>四、治疗电极片：</w:t>
      </w:r>
    </w:p>
    <w:p w14:paraId="0FA62529">
      <w:pPr>
        <w:pStyle w:val="2"/>
        <w:keepNext w:val="0"/>
        <w:keepLines w:val="0"/>
        <w:widowControl/>
        <w:suppressLineNumbers w:val="0"/>
        <w:spacing w:before="60" w:beforeAutospacing="0" w:after="60" w:afterAutospacing="0" w:line="288" w:lineRule="atLeast"/>
        <w:ind w:left="0" w:right="0" w:firstLine="0"/>
        <w:rPr>
          <w:rFonts w:hint="default" w:ascii="sans-serif" w:hAnsi="sans-serif" w:eastAsia="sans-serif" w:cs="sans-serif"/>
          <w:i w:val="0"/>
          <w:iCs w:val="0"/>
          <w:caps w:val="0"/>
          <w:color w:val="000000"/>
          <w:spacing w:val="0"/>
          <w:sz w:val="21"/>
          <w:szCs w:val="21"/>
        </w:rPr>
      </w:pPr>
      <w:r>
        <w:rPr>
          <w:rFonts w:hint="eastAsia" w:ascii="宋体" w:hAnsi="宋体" w:eastAsia="宋体" w:cs="宋体"/>
          <w:i w:val="0"/>
          <w:iCs w:val="0"/>
          <w:caps w:val="0"/>
          <w:color w:val="000000"/>
          <w:spacing w:val="0"/>
          <w:sz w:val="21"/>
          <w:szCs w:val="21"/>
        </w:rPr>
        <w:t>1、自粘性电极，磁性链接不漏电，贴合舒适，治疗安全，可更换，专人专用，避免交叉感染；</w:t>
      </w:r>
    </w:p>
    <w:p w14:paraId="38D5B920">
      <w:pPr>
        <w:pStyle w:val="2"/>
        <w:keepNext w:val="0"/>
        <w:keepLines w:val="0"/>
        <w:widowControl/>
        <w:suppressLineNumbers w:val="0"/>
        <w:spacing w:before="60" w:beforeAutospacing="0" w:after="60" w:afterAutospacing="0" w:line="288" w:lineRule="atLeast"/>
        <w:ind w:left="0" w:right="0" w:firstLine="0"/>
        <w:rPr>
          <w:rFonts w:hint="default" w:ascii="sans-serif" w:hAnsi="sans-serif" w:eastAsia="sans-serif" w:cs="sans-serif"/>
          <w:i w:val="0"/>
          <w:iCs w:val="0"/>
          <w:caps w:val="0"/>
          <w:color w:val="000000"/>
          <w:spacing w:val="0"/>
          <w:sz w:val="21"/>
          <w:szCs w:val="21"/>
        </w:rPr>
      </w:pPr>
      <w:r>
        <w:rPr>
          <w:rFonts w:hint="eastAsia" w:ascii="宋体" w:hAnsi="宋体" w:eastAsia="宋体" w:cs="宋体"/>
          <w:i w:val="0"/>
          <w:iCs w:val="0"/>
          <w:caps w:val="0"/>
          <w:color w:val="000000"/>
          <w:spacing w:val="0"/>
          <w:sz w:val="21"/>
          <w:szCs w:val="21"/>
        </w:rPr>
        <w:t>2、电极片由主机生产商生产，有独立医疗器械注册备案资质；</w:t>
      </w:r>
    </w:p>
    <w:p w14:paraId="3287C48B">
      <w:pPr>
        <w:pStyle w:val="2"/>
        <w:keepNext w:val="0"/>
        <w:keepLines w:val="0"/>
        <w:widowControl/>
        <w:suppressLineNumbers w:val="0"/>
        <w:spacing w:before="60" w:beforeAutospacing="0" w:after="60" w:afterAutospacing="0" w:line="288" w:lineRule="atLeast"/>
        <w:ind w:left="0" w:right="0" w:firstLine="0"/>
        <w:rPr>
          <w:rStyle w:val="5"/>
          <w:rFonts w:hint="eastAsia" w:ascii="宋体" w:hAnsi="宋体" w:eastAsia="宋体" w:cs="宋体"/>
          <w:b/>
          <w:bCs/>
          <w:i w:val="0"/>
          <w:iCs w:val="0"/>
          <w:caps w:val="0"/>
          <w:color w:val="000000"/>
          <w:spacing w:val="0"/>
          <w:sz w:val="22"/>
          <w:szCs w:val="22"/>
        </w:rPr>
      </w:pPr>
      <w:r>
        <w:rPr>
          <w:rStyle w:val="5"/>
          <w:rFonts w:hint="eastAsia" w:ascii="宋体" w:hAnsi="宋体" w:eastAsia="宋体" w:cs="宋体"/>
          <w:b/>
          <w:bCs/>
          <w:i w:val="0"/>
          <w:iCs w:val="0"/>
          <w:caps w:val="0"/>
          <w:color w:val="000000"/>
          <w:spacing w:val="0"/>
          <w:sz w:val="22"/>
          <w:szCs w:val="22"/>
        </w:rPr>
        <w:t>五、电气参数</w:t>
      </w:r>
    </w:p>
    <w:p w14:paraId="0AA85536">
      <w:pPr>
        <w:pStyle w:val="2"/>
        <w:keepNext w:val="0"/>
        <w:keepLines w:val="0"/>
        <w:widowControl/>
        <w:suppressLineNumbers w:val="0"/>
        <w:spacing w:before="60" w:beforeAutospacing="0" w:after="60" w:afterAutospacing="0" w:line="288" w:lineRule="atLeast"/>
        <w:ind w:left="0" w:right="0" w:firstLine="0"/>
        <w:rPr>
          <w:rFonts w:hint="default" w:ascii="sans-serif" w:hAnsi="sans-serif" w:eastAsia="sans-serif" w:cs="sans-serif"/>
          <w:i w:val="0"/>
          <w:iCs w:val="0"/>
          <w:caps w:val="0"/>
          <w:color w:val="000000"/>
          <w:spacing w:val="0"/>
          <w:sz w:val="21"/>
          <w:szCs w:val="21"/>
        </w:rPr>
      </w:pPr>
      <w:r>
        <w:rPr>
          <w:rFonts w:ascii="等线" w:hAnsi="等线" w:eastAsia="等线" w:cs="等线"/>
          <w:i w:val="0"/>
          <w:iCs w:val="0"/>
          <w:caps w:val="0"/>
          <w:color w:val="000000"/>
          <w:spacing w:val="0"/>
          <w:sz w:val="21"/>
          <w:szCs w:val="21"/>
        </w:rPr>
        <w:t>1. </w:t>
      </w:r>
      <w:r>
        <w:rPr>
          <w:rFonts w:hint="eastAsia" w:ascii="宋体" w:hAnsi="宋体" w:eastAsia="宋体" w:cs="宋体"/>
          <w:i w:val="0"/>
          <w:iCs w:val="0"/>
          <w:caps w:val="0"/>
          <w:color w:val="000000"/>
          <w:spacing w:val="0"/>
          <w:sz w:val="21"/>
          <w:szCs w:val="21"/>
        </w:rPr>
        <w:t>等效负载：1kΩ电阻；输入功率：≤60VA；输出电压(r.m.s) ＜50V；</w:t>
      </w:r>
    </w:p>
    <w:p w14:paraId="3C47876C">
      <w:pPr>
        <w:pStyle w:val="2"/>
        <w:keepNext w:val="0"/>
        <w:keepLines w:val="0"/>
        <w:widowControl/>
        <w:suppressLineNumbers w:val="0"/>
        <w:spacing w:before="60" w:beforeAutospacing="0" w:after="60" w:afterAutospacing="0" w:line="288" w:lineRule="atLeast"/>
        <w:ind w:right="0"/>
        <w:jc w:val="both"/>
        <w:rPr>
          <w:rFonts w:hint="default" w:ascii="sans-serif" w:hAnsi="sans-serif" w:eastAsia="sans-serif" w:cs="sans-serif"/>
          <w:i w:val="0"/>
          <w:iCs w:val="0"/>
          <w:caps w:val="0"/>
          <w:color w:val="000000"/>
          <w:spacing w:val="0"/>
          <w:sz w:val="21"/>
          <w:szCs w:val="21"/>
        </w:rPr>
      </w:pPr>
      <w:r>
        <w:rPr>
          <w:rFonts w:hint="eastAsia" w:ascii="等线" w:hAnsi="等线" w:eastAsia="等线" w:cs="等线"/>
          <w:i w:val="0"/>
          <w:iCs w:val="0"/>
          <w:caps w:val="0"/>
          <w:color w:val="000000"/>
          <w:spacing w:val="0"/>
          <w:sz w:val="21"/>
          <w:szCs w:val="21"/>
        </w:rPr>
        <w:t>2. </w:t>
      </w:r>
      <w:r>
        <w:rPr>
          <w:rFonts w:hint="eastAsia" w:ascii="宋体" w:hAnsi="宋体" w:eastAsia="宋体" w:cs="宋体"/>
          <w:i w:val="0"/>
          <w:iCs w:val="0"/>
          <w:caps w:val="0"/>
          <w:color w:val="000000"/>
          <w:spacing w:val="0"/>
          <w:sz w:val="21"/>
          <w:szCs w:val="21"/>
        </w:rPr>
        <w:t>输出电流(r.m.s) ≤50mA；脉冲幅度（单向峰值）：最小0V～10V最大40V～60V；</w:t>
      </w:r>
    </w:p>
    <w:p w14:paraId="5140E5D1">
      <w:pPr>
        <w:pStyle w:val="2"/>
        <w:keepNext w:val="0"/>
        <w:keepLines w:val="0"/>
        <w:widowControl/>
        <w:suppressLineNumbers w:val="0"/>
        <w:spacing w:before="60" w:beforeAutospacing="0" w:after="60" w:afterAutospacing="0" w:line="288" w:lineRule="atLeast"/>
        <w:ind w:right="0"/>
        <w:jc w:val="both"/>
        <w:rPr>
          <w:rFonts w:hint="default" w:ascii="sans-serif" w:hAnsi="sans-serif" w:eastAsia="sans-serif" w:cs="sans-serif"/>
          <w:i w:val="0"/>
          <w:iCs w:val="0"/>
          <w:caps w:val="0"/>
          <w:color w:val="000000"/>
          <w:spacing w:val="0"/>
          <w:sz w:val="21"/>
          <w:szCs w:val="21"/>
        </w:rPr>
      </w:pPr>
      <w:r>
        <w:rPr>
          <w:rFonts w:hint="eastAsia" w:ascii="等线" w:hAnsi="等线" w:eastAsia="等线" w:cs="等线"/>
          <w:i w:val="0"/>
          <w:iCs w:val="0"/>
          <w:caps w:val="0"/>
          <w:color w:val="000000"/>
          <w:spacing w:val="0"/>
          <w:sz w:val="21"/>
          <w:szCs w:val="21"/>
        </w:rPr>
        <w:t>3. </w:t>
      </w:r>
      <w:r>
        <w:rPr>
          <w:rFonts w:hint="eastAsia" w:ascii="宋体" w:hAnsi="宋体" w:eastAsia="宋体" w:cs="宋体"/>
          <w:i w:val="0"/>
          <w:iCs w:val="0"/>
          <w:caps w:val="0"/>
          <w:color w:val="000000"/>
          <w:spacing w:val="0"/>
          <w:sz w:val="21"/>
          <w:szCs w:val="21"/>
        </w:rPr>
        <w:t>脉冲宽度：0.1ms～0.2ms；脉冲频率≤120Hz；</w:t>
      </w:r>
    </w:p>
    <w:p w14:paraId="09171290">
      <w:pPr>
        <w:pStyle w:val="2"/>
        <w:keepNext w:val="0"/>
        <w:keepLines w:val="0"/>
        <w:widowControl/>
        <w:suppressLineNumbers w:val="0"/>
        <w:spacing w:before="60" w:beforeAutospacing="0" w:after="60" w:afterAutospacing="0" w:line="288" w:lineRule="atLeast"/>
        <w:ind w:right="0"/>
        <w:jc w:val="both"/>
        <w:rPr>
          <w:rFonts w:hint="default" w:ascii="sans-serif" w:hAnsi="sans-serif" w:eastAsia="sans-serif" w:cs="sans-serif"/>
          <w:i w:val="0"/>
          <w:iCs w:val="0"/>
          <w:caps w:val="0"/>
          <w:color w:val="000000"/>
          <w:spacing w:val="0"/>
          <w:sz w:val="21"/>
          <w:szCs w:val="21"/>
        </w:rPr>
      </w:pPr>
      <w:r>
        <w:rPr>
          <w:rFonts w:hint="eastAsia" w:ascii="等线" w:hAnsi="等线" w:eastAsia="等线" w:cs="等线"/>
          <w:i w:val="0"/>
          <w:iCs w:val="0"/>
          <w:caps w:val="0"/>
          <w:color w:val="000000"/>
          <w:spacing w:val="0"/>
          <w:sz w:val="21"/>
          <w:szCs w:val="21"/>
        </w:rPr>
        <w:t>4. </w:t>
      </w:r>
      <w:r>
        <w:rPr>
          <w:rFonts w:hint="eastAsia" w:ascii="宋体" w:hAnsi="宋体" w:eastAsia="宋体" w:cs="宋体"/>
          <w:i w:val="0"/>
          <w:iCs w:val="0"/>
          <w:caps w:val="0"/>
          <w:color w:val="000000"/>
          <w:spacing w:val="0"/>
          <w:sz w:val="21"/>
          <w:szCs w:val="21"/>
        </w:rPr>
        <w:t>治疗输出强度分级调节：0级 - 80级；</w:t>
      </w:r>
    </w:p>
    <w:p w14:paraId="3274B873">
      <w:pPr>
        <w:pStyle w:val="2"/>
        <w:keepNext w:val="0"/>
        <w:keepLines w:val="0"/>
        <w:widowControl/>
        <w:suppressLineNumbers w:val="0"/>
        <w:spacing w:before="60" w:beforeAutospacing="0" w:after="60" w:afterAutospacing="0"/>
        <w:ind w:left="0" w:right="0"/>
      </w:pPr>
    </w:p>
    <w:p w14:paraId="1096D33E">
      <w:pPr>
        <w:pStyle w:val="2"/>
        <w:keepNext w:val="0"/>
        <w:keepLines w:val="0"/>
        <w:widowControl/>
        <w:suppressLineNumbers w:val="0"/>
        <w:spacing w:before="60" w:beforeAutospacing="0" w:after="60" w:afterAutospacing="0"/>
        <w:ind w:left="0" w:right="0"/>
      </w:pPr>
    </w:p>
    <w:p w14:paraId="73D70040">
      <w:pPr>
        <w:rPr>
          <w:rFonts w:hint="eastAsia"/>
        </w:rPr>
      </w:pPr>
    </w:p>
    <w:p w14:paraId="6842ECD4">
      <w:pPr>
        <w:jc w:val="both"/>
        <w:rPr>
          <w:rFonts w:hint="eastAsia"/>
          <w:b/>
          <w:bCs/>
          <w:sz w:val="24"/>
          <w:szCs w:val="24"/>
          <w:lang w:val="en-US" w:eastAsia="zh-CN"/>
        </w:rPr>
      </w:pPr>
      <w:r>
        <w:rPr>
          <w:rFonts w:hint="eastAsia"/>
          <w:b/>
          <w:bCs/>
          <w:sz w:val="24"/>
          <w:szCs w:val="24"/>
          <w:lang w:val="en-US" w:eastAsia="zh-CN"/>
        </w:rPr>
        <w:t>商务要求：</w:t>
      </w:r>
    </w:p>
    <w:p w14:paraId="1A9E0513">
      <w:pPr>
        <w:rPr>
          <w:rFonts w:hint="default"/>
          <w:lang w:val="en-US" w:eastAsia="zh-CN"/>
        </w:rPr>
      </w:pPr>
      <w:r>
        <w:rPr>
          <w:rFonts w:hint="default"/>
          <w:lang w:val="en-US" w:eastAsia="zh-CN"/>
        </w:rPr>
        <w:t>1、本项目预算金额为</w:t>
      </w:r>
      <w:r>
        <w:rPr>
          <w:rFonts w:hint="eastAsia"/>
          <w:lang w:val="en-US" w:eastAsia="zh-CN"/>
        </w:rPr>
        <w:t>48</w:t>
      </w:r>
      <w:r>
        <w:rPr>
          <w:rFonts w:hint="default"/>
          <w:lang w:val="en-US" w:eastAsia="zh-CN"/>
        </w:rPr>
        <w:t>万元，最高限价</w:t>
      </w:r>
      <w:r>
        <w:rPr>
          <w:rFonts w:hint="eastAsia"/>
          <w:lang w:val="en-US" w:eastAsia="zh-CN"/>
        </w:rPr>
        <w:t>48</w:t>
      </w:r>
      <w:r>
        <w:rPr>
          <w:rFonts w:hint="default"/>
          <w:lang w:val="en-US" w:eastAsia="zh-CN"/>
        </w:rPr>
        <w:t>万元，报价不得超出最高限价，否则报价无效。</w:t>
      </w:r>
    </w:p>
    <w:p w14:paraId="6EDEF240">
      <w:pPr>
        <w:rPr>
          <w:rFonts w:hint="default"/>
          <w:lang w:val="en-US" w:eastAsia="zh-CN"/>
        </w:rPr>
      </w:pPr>
      <w:r>
        <w:rPr>
          <w:rFonts w:hint="default"/>
          <w:lang w:val="en-US" w:eastAsia="zh-CN"/>
        </w:rPr>
        <w:t>2、所有参数需进行对应响应，提供需求参数偏离表，缺漏、不提供则认定为响应无效。</w:t>
      </w:r>
    </w:p>
    <w:p w14:paraId="7C93F64F">
      <w:pPr>
        <w:rPr>
          <w:rFonts w:hint="default"/>
          <w:lang w:val="en-US" w:eastAsia="zh-CN"/>
        </w:rPr>
      </w:pPr>
      <w:r>
        <w:rPr>
          <w:rFonts w:hint="eastAsia"/>
          <w:lang w:val="en-US" w:eastAsia="zh-CN"/>
        </w:rPr>
        <w:t>3</w:t>
      </w:r>
      <w:r>
        <w:rPr>
          <w:rFonts w:hint="default"/>
          <w:lang w:val="en-US" w:eastAsia="zh-CN"/>
        </w:rPr>
        <w:t>、响应产品须列明品牌、生产厂家、型号。</w:t>
      </w:r>
    </w:p>
    <w:p w14:paraId="400B2E53">
      <w:pPr>
        <w:rPr>
          <w:rFonts w:hint="default"/>
          <w:lang w:val="en-US" w:eastAsia="zh-CN"/>
        </w:rPr>
      </w:pPr>
      <w:r>
        <w:rPr>
          <w:rFonts w:hint="eastAsia"/>
          <w:lang w:val="en-US" w:eastAsia="zh-CN"/>
        </w:rPr>
        <w:t>4</w:t>
      </w:r>
      <w:r>
        <w:rPr>
          <w:rFonts w:hint="default"/>
          <w:lang w:val="en-US" w:eastAsia="zh-CN"/>
        </w:rPr>
        <w:t>、成交供应商需缴纳履约保证金（按成交金额的按5%缴纳，中小微企业按成交金额的按2%缴纳（需提供中小微企业证明）），在承诺的质保期期满后无息退还给成交供应商。</w:t>
      </w:r>
    </w:p>
    <w:p w14:paraId="106C70F6">
      <w:pPr>
        <w:rPr>
          <w:rFonts w:hint="default"/>
          <w:lang w:val="en-US" w:eastAsia="zh-CN"/>
        </w:rPr>
      </w:pPr>
      <w:r>
        <w:rPr>
          <w:rFonts w:hint="eastAsia"/>
          <w:lang w:val="en-US" w:eastAsia="zh-CN"/>
        </w:rPr>
        <w:t>5</w:t>
      </w:r>
      <w:r>
        <w:rPr>
          <w:rFonts w:hint="default"/>
          <w:lang w:val="en-US" w:eastAsia="zh-CN"/>
        </w:rPr>
        <w:t>、报价包括各种税金、运输费、搬运费（运至院方指定的楼层和科室）、材料费、人工费、调试安装费等一切费用。</w:t>
      </w:r>
    </w:p>
    <w:p w14:paraId="107B074D">
      <w:pPr>
        <w:rPr>
          <w:rFonts w:hint="default"/>
          <w:lang w:val="en-US" w:eastAsia="zh-CN"/>
        </w:rPr>
      </w:pPr>
      <w:r>
        <w:rPr>
          <w:rFonts w:hint="eastAsia"/>
          <w:lang w:val="en-US" w:eastAsia="zh-CN"/>
        </w:rPr>
        <w:t>6</w:t>
      </w:r>
      <w:r>
        <w:rPr>
          <w:rFonts w:hint="default"/>
          <w:lang w:val="en-US" w:eastAsia="zh-CN"/>
        </w:rPr>
        <w:t>、成交供应商保证向采购人提供的货物是全新、完整、未使用过的，说明书和合格证等相关证书必须完整，产品的品牌型号需按成交供应商承诺的执行，成交供应商若提供的产品不符合参数要求、品牌型号不一致、相关证书缺失或有质量问题，</w:t>
      </w:r>
      <w:r>
        <w:rPr>
          <w:rFonts w:hint="eastAsia"/>
          <w:lang w:val="en-US" w:eastAsia="zh-CN"/>
        </w:rPr>
        <w:t>采购人</w:t>
      </w:r>
      <w:r>
        <w:rPr>
          <w:rFonts w:hint="default"/>
          <w:lang w:val="en-US" w:eastAsia="zh-CN"/>
        </w:rPr>
        <w:t>有权拒收并有权要求供应商更换，产生的费用由成交人承担。</w:t>
      </w:r>
    </w:p>
    <w:p w14:paraId="7BB3A959">
      <w:pPr>
        <w:rPr>
          <w:rFonts w:hint="default"/>
          <w:lang w:val="en-US" w:eastAsia="zh-CN"/>
        </w:rPr>
      </w:pPr>
      <w:r>
        <w:rPr>
          <w:rFonts w:hint="eastAsia"/>
          <w:lang w:val="en-US" w:eastAsia="zh-CN"/>
        </w:rPr>
        <w:t>7</w:t>
      </w:r>
      <w:r>
        <w:rPr>
          <w:rFonts w:hint="default"/>
          <w:lang w:val="en-US" w:eastAsia="zh-CN"/>
        </w:rPr>
        <w:t>、按国家有关产品“三包”规定执行“三包”，除特别说明外，质保期不得少于</w:t>
      </w:r>
      <w:r>
        <w:rPr>
          <w:rFonts w:hint="eastAsia"/>
          <w:lang w:val="en-US" w:eastAsia="zh-CN"/>
        </w:rPr>
        <w:t>3</w:t>
      </w:r>
      <w:r>
        <w:rPr>
          <w:rFonts w:hint="default"/>
          <w:lang w:val="en-US" w:eastAsia="zh-CN"/>
        </w:rPr>
        <w:t xml:space="preserve">年，自产品验收合格并能正常使用之日算起。如响应文件中提供产品生产厂家对质保期的承诺，与供应商承诺不一致的，以生产厂家承诺为准。 </w:t>
      </w:r>
    </w:p>
    <w:p w14:paraId="239CAC38">
      <w:pPr>
        <w:rPr>
          <w:rFonts w:hint="default"/>
          <w:lang w:val="en-US" w:eastAsia="zh-CN"/>
        </w:rPr>
      </w:pPr>
      <w:r>
        <w:rPr>
          <w:rFonts w:hint="default"/>
          <w:lang w:val="en-US" w:eastAsia="zh-CN"/>
        </w:rPr>
        <w:t>8、售后服务：成交供应商提供7*24小时售后服务，质保期内产品出现故障，在接到电话通知后，2小时内做出响应（远程解决或做出预备维护动作），24小时内到达维修现场。一般问题应在24小时内解决，否则须在采购人允许的迅速解决的问题的期限（即接到采购人通知后的24小时内）后二个工作日内提供与原产品技术参数要求相同或高于原产品技术参数要求的备用产品，以保证采购人的正常工作。重大问题或其它无法迅速解决的问题应在五个工作日内解决，供应商在接到采购人通知后拒不响应或解决故障的，采购人有权聘请第三方进行维修，由此产生的费用由供应商承担。</w:t>
      </w:r>
      <w:r>
        <w:rPr>
          <w:rFonts w:hint="default"/>
          <w:lang w:val="en-US" w:eastAsia="zh-CN"/>
        </w:rPr>
        <w:br w:type="textWrapping"/>
      </w:r>
      <w:r>
        <w:rPr>
          <w:rFonts w:hint="eastAsia"/>
          <w:lang w:val="en-US" w:eastAsia="zh-CN"/>
        </w:rPr>
        <w:t>9、成交供应商需提供设备配套软件的终身升级服务且所涉及的接口费用一律由成交供应商承担。如设备需要对接医院HIS、PACS、LIS，或其他采购人认为需要对接的相关信息化系统，成交供应商须配合采购人完成相关对接工作，且所涉及的接口费用一律由成交供应商承担。</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B66479"/>
    <w:rsid w:val="29152059"/>
    <w:rsid w:val="78D51BC9"/>
    <w:rsid w:val="7BF16DDB"/>
    <w:rsid w:val="7EDA29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1738</Words>
  <Characters>2155</Characters>
  <Lines>0</Lines>
  <Paragraphs>0</Paragraphs>
  <TotalTime>7</TotalTime>
  <ScaleCrop>false</ScaleCrop>
  <LinksUpToDate>false</LinksUpToDate>
  <CharactersWithSpaces>2247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2026-07-27T04:04:00Z</dcterms:created>
  <dc:creator>Administrator</dc:creator>
  <cp:lastModifiedBy>mild,m</cp:lastModifiedBy>
  <dcterms:modified xsi:type="dcterms:W3CDTF">2026-10-20T03:16:30Z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eyJoZGlkIjoiNmM0ZWY5N2MyZWM5YTE0M2U1YjZmOTgyNTEzMTQ0NzEiLCJ1c2VySWQiOiIyMTM4MTIxNDQifQ==</vt:lpwstr>
  </property>
  <property fmtid="{D5CDD505-2E9C-101B-9397-08002B2CF9AE}" pid="4" name="ICV">
    <vt:lpwstr>44971223C50C4C629950A2AF31A1A503_13</vt:lpwstr>
  </property>
</Properties>
</file>