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6C7639">
      <w:pPr>
        <w:keepNext w:val="0"/>
        <w:keepLines w:val="0"/>
        <w:pageBreakBefore w:val="0"/>
        <w:widowControl/>
        <w:kinsoku/>
        <w:wordWrap/>
        <w:overflowPunct/>
        <w:topLinePunct w:val="0"/>
        <w:autoSpaceDE/>
        <w:autoSpaceDN/>
        <w:bidi w:val="0"/>
        <w:adjustRightInd/>
        <w:snapToGrid/>
        <w:spacing w:after="0" w:afterLines="-2147483648"/>
        <w:ind w:firstLine="0" w:firstLineChars="0"/>
        <w:jc w:val="center"/>
        <w:textAlignment w:val="auto"/>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中山大学附属第一医院广西医院禽</w:t>
      </w:r>
      <w:r>
        <w:rPr>
          <w:rFonts w:hint="eastAsia" w:ascii="宋体" w:hAnsi="宋体" w:eastAsia="宋体" w:cs="宋体"/>
          <w:b/>
          <w:bCs/>
          <w:color w:val="auto"/>
          <w:sz w:val="36"/>
          <w:szCs w:val="36"/>
        </w:rPr>
        <w:t>肉类</w:t>
      </w:r>
      <w:r>
        <w:rPr>
          <w:rFonts w:hint="eastAsia" w:ascii="宋体" w:hAnsi="宋体" w:eastAsia="宋体" w:cs="宋体"/>
          <w:b/>
          <w:bCs/>
          <w:color w:val="auto"/>
          <w:sz w:val="36"/>
          <w:szCs w:val="36"/>
          <w:lang w:val="en-US" w:eastAsia="zh-CN"/>
        </w:rPr>
        <w:t>食材采购及配送服务项目采购需求</w:t>
      </w:r>
    </w:p>
    <w:p w14:paraId="7CB4980A">
      <w:pPr>
        <w:keepNext w:val="0"/>
        <w:keepLines w:val="0"/>
        <w:pageBreakBefore w:val="0"/>
        <w:kinsoku/>
        <w:wordWrap/>
        <w:overflowPunct/>
        <w:topLinePunct w:val="0"/>
        <w:autoSpaceDE/>
        <w:autoSpaceDN/>
        <w:bidi w:val="0"/>
        <w:adjustRightInd/>
        <w:snapToGrid/>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一、</w:t>
      </w:r>
      <w:r>
        <w:rPr>
          <w:rFonts w:hint="eastAsia" w:ascii="宋体" w:hAnsi="宋体" w:eastAsia="宋体" w:cs="宋体"/>
          <w:sz w:val="32"/>
          <w:szCs w:val="32"/>
        </w:rPr>
        <w:t>采购需求报价表</w:t>
      </w:r>
    </w:p>
    <w:tbl>
      <w:tblPr>
        <w:tblStyle w:val="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125"/>
        <w:gridCol w:w="2615"/>
        <w:gridCol w:w="1887"/>
        <w:gridCol w:w="1178"/>
        <w:gridCol w:w="1717"/>
      </w:tblGrid>
      <w:tr w14:paraId="1E8E6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2" w:hRule="atLeast"/>
          <w:jc w:val="center"/>
        </w:trPr>
        <w:tc>
          <w:tcPr>
            <w:tcW w:w="5000" w:type="pct"/>
            <w:gridSpan w:val="5"/>
            <w:shd w:val="clear" w:color="auto" w:fill="auto"/>
            <w:noWrap/>
            <w:vAlign w:val="center"/>
          </w:tcPr>
          <w:p w14:paraId="50A782C2">
            <w:pPr>
              <w:keepNext w:val="0"/>
              <w:keepLines w:val="0"/>
              <w:widowControl/>
              <w:suppressLineNumbers w:val="0"/>
              <w:spacing w:line="400" w:lineRule="exact"/>
              <w:jc w:val="center"/>
              <w:textAlignment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中山大学附属第一医院广西医院禽肉类食材采购及配送服务需求报价表</w:t>
            </w:r>
          </w:p>
        </w:tc>
      </w:tr>
      <w:tr w14:paraId="27591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5000" w:type="pct"/>
            <w:gridSpan w:val="5"/>
            <w:shd w:val="clear" w:color="auto" w:fill="auto"/>
            <w:noWrap/>
            <w:vAlign w:val="center"/>
          </w:tcPr>
          <w:p w14:paraId="4771E117">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供应商单位名称（加盖公章）：</w:t>
            </w:r>
          </w:p>
        </w:tc>
      </w:tr>
      <w:tr w14:paraId="3987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30" w:hRule="atLeast"/>
          <w:jc w:val="center"/>
        </w:trPr>
        <w:tc>
          <w:tcPr>
            <w:tcW w:w="660" w:type="pct"/>
            <w:shd w:val="clear" w:color="auto" w:fill="auto"/>
            <w:noWrap/>
            <w:vAlign w:val="center"/>
          </w:tcPr>
          <w:p w14:paraId="15BAAF0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534" w:type="pct"/>
            <w:shd w:val="clear" w:color="auto" w:fill="auto"/>
            <w:noWrap/>
            <w:vAlign w:val="center"/>
          </w:tcPr>
          <w:p w14:paraId="7816F69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产品名称</w:t>
            </w:r>
          </w:p>
        </w:tc>
        <w:tc>
          <w:tcPr>
            <w:tcW w:w="1107" w:type="pct"/>
            <w:shd w:val="clear" w:color="auto" w:fill="auto"/>
            <w:noWrap/>
            <w:vAlign w:val="center"/>
          </w:tcPr>
          <w:p w14:paraId="0E486EF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产地/品牌</w:t>
            </w:r>
          </w:p>
        </w:tc>
        <w:tc>
          <w:tcPr>
            <w:tcW w:w="691" w:type="pct"/>
            <w:shd w:val="clear" w:color="auto" w:fill="auto"/>
            <w:noWrap/>
            <w:vAlign w:val="center"/>
          </w:tcPr>
          <w:p w14:paraId="45D2254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单位</w:t>
            </w:r>
          </w:p>
        </w:tc>
        <w:tc>
          <w:tcPr>
            <w:tcW w:w="1007" w:type="pct"/>
            <w:shd w:val="clear" w:color="auto" w:fill="auto"/>
            <w:noWrap/>
            <w:vAlign w:val="center"/>
          </w:tcPr>
          <w:p w14:paraId="4026B1C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报价（元/斤）</w:t>
            </w:r>
          </w:p>
        </w:tc>
      </w:tr>
      <w:tr w14:paraId="6BCE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4FAB021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534" w:type="pct"/>
            <w:shd w:val="clear" w:color="auto" w:fill="auto"/>
            <w:noWrap/>
            <w:vAlign w:val="center"/>
          </w:tcPr>
          <w:p w14:paraId="1FBEF6C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果园鸡</w:t>
            </w:r>
          </w:p>
        </w:tc>
        <w:tc>
          <w:tcPr>
            <w:tcW w:w="1107" w:type="pct"/>
            <w:shd w:val="clear" w:color="auto" w:fill="auto"/>
            <w:noWrap/>
            <w:vAlign w:val="center"/>
          </w:tcPr>
          <w:p w14:paraId="1B76028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1898785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08A8B0C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23459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0B8525A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534" w:type="pct"/>
            <w:shd w:val="clear" w:color="auto" w:fill="auto"/>
            <w:noWrap/>
            <w:vAlign w:val="center"/>
          </w:tcPr>
          <w:p w14:paraId="7473AC2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土鸡</w:t>
            </w:r>
          </w:p>
        </w:tc>
        <w:tc>
          <w:tcPr>
            <w:tcW w:w="1107" w:type="pct"/>
            <w:shd w:val="clear" w:color="auto" w:fill="auto"/>
            <w:noWrap/>
            <w:vAlign w:val="center"/>
          </w:tcPr>
          <w:p w14:paraId="596C6E6A">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4239412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7116CA0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4EAA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7EE80DC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1534" w:type="pct"/>
            <w:shd w:val="clear" w:color="auto" w:fill="auto"/>
            <w:noWrap/>
            <w:vAlign w:val="center"/>
          </w:tcPr>
          <w:p w14:paraId="090233F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鸡花肠</w:t>
            </w:r>
          </w:p>
        </w:tc>
        <w:tc>
          <w:tcPr>
            <w:tcW w:w="1107" w:type="pct"/>
            <w:shd w:val="clear" w:color="auto" w:fill="auto"/>
            <w:noWrap/>
            <w:vAlign w:val="center"/>
          </w:tcPr>
          <w:p w14:paraId="7783A2D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067A53B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6957833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6F5A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2413F0D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1534" w:type="pct"/>
            <w:shd w:val="clear" w:color="auto" w:fill="auto"/>
            <w:noWrap/>
            <w:vAlign w:val="center"/>
          </w:tcPr>
          <w:p w14:paraId="04DDB8E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鸡肾</w:t>
            </w:r>
          </w:p>
        </w:tc>
        <w:tc>
          <w:tcPr>
            <w:tcW w:w="1107" w:type="pct"/>
            <w:shd w:val="clear" w:color="auto" w:fill="auto"/>
            <w:noWrap/>
            <w:vAlign w:val="center"/>
          </w:tcPr>
          <w:p w14:paraId="4C2BCB4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1BBB430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7B95375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1AC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329B33D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1534" w:type="pct"/>
            <w:shd w:val="clear" w:color="auto" w:fill="auto"/>
            <w:noWrap/>
            <w:vAlign w:val="center"/>
          </w:tcPr>
          <w:p w14:paraId="649FC98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鸡胸肉</w:t>
            </w:r>
          </w:p>
        </w:tc>
        <w:tc>
          <w:tcPr>
            <w:tcW w:w="1107" w:type="pct"/>
            <w:shd w:val="clear" w:color="auto" w:fill="auto"/>
            <w:noWrap/>
            <w:vAlign w:val="center"/>
          </w:tcPr>
          <w:p w14:paraId="15EC867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17CF66B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1527771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28F9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181E889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1534" w:type="pct"/>
            <w:shd w:val="clear" w:color="auto" w:fill="auto"/>
            <w:noWrap/>
            <w:vAlign w:val="center"/>
          </w:tcPr>
          <w:p w14:paraId="502E75C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老鸡</w:t>
            </w:r>
          </w:p>
        </w:tc>
        <w:tc>
          <w:tcPr>
            <w:tcW w:w="1107" w:type="pct"/>
            <w:shd w:val="clear" w:color="auto" w:fill="auto"/>
            <w:noWrap/>
            <w:vAlign w:val="center"/>
          </w:tcPr>
          <w:p w14:paraId="7EB3970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394161A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5B3FD76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ABC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0F8DB2D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1534" w:type="pct"/>
            <w:shd w:val="clear" w:color="auto" w:fill="auto"/>
            <w:noWrap/>
            <w:vAlign w:val="center"/>
          </w:tcPr>
          <w:p w14:paraId="3366B50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老鸭</w:t>
            </w:r>
          </w:p>
        </w:tc>
        <w:tc>
          <w:tcPr>
            <w:tcW w:w="1107" w:type="pct"/>
            <w:shd w:val="clear" w:color="auto" w:fill="auto"/>
            <w:noWrap/>
            <w:vAlign w:val="center"/>
          </w:tcPr>
          <w:p w14:paraId="085F824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05220F0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4B8C8ECD">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A932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6E4D5E1A">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1534" w:type="pct"/>
            <w:shd w:val="clear" w:color="auto" w:fill="auto"/>
            <w:noWrap/>
            <w:vAlign w:val="center"/>
          </w:tcPr>
          <w:p w14:paraId="7B497CD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木鸭</w:t>
            </w:r>
          </w:p>
        </w:tc>
        <w:tc>
          <w:tcPr>
            <w:tcW w:w="1107" w:type="pct"/>
            <w:shd w:val="clear" w:color="auto" w:fill="auto"/>
            <w:noWrap/>
            <w:vAlign w:val="center"/>
          </w:tcPr>
          <w:p w14:paraId="7696075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64F573D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05E0F68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3875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78F828C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1534" w:type="pct"/>
            <w:shd w:val="clear" w:color="auto" w:fill="auto"/>
            <w:noWrap/>
            <w:vAlign w:val="center"/>
          </w:tcPr>
          <w:p w14:paraId="2A27B1D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水盆鸭</w:t>
            </w:r>
          </w:p>
        </w:tc>
        <w:tc>
          <w:tcPr>
            <w:tcW w:w="1107" w:type="pct"/>
            <w:shd w:val="clear" w:color="auto" w:fill="auto"/>
            <w:noWrap/>
            <w:vAlign w:val="center"/>
          </w:tcPr>
          <w:p w14:paraId="2F7E3FF6">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12FC5DD9">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1BFA807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A0C7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65C2A2C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1534" w:type="pct"/>
            <w:shd w:val="clear" w:color="auto" w:fill="auto"/>
            <w:noWrap/>
            <w:vAlign w:val="center"/>
          </w:tcPr>
          <w:p w14:paraId="4BFE08B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项鸡</w:t>
            </w:r>
          </w:p>
        </w:tc>
        <w:tc>
          <w:tcPr>
            <w:tcW w:w="1107" w:type="pct"/>
            <w:shd w:val="clear" w:color="auto" w:fill="auto"/>
            <w:noWrap/>
            <w:vAlign w:val="center"/>
          </w:tcPr>
          <w:p w14:paraId="1EF1335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135E3AB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5430662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5B760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2B2CBED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1534" w:type="pct"/>
            <w:shd w:val="clear" w:color="auto" w:fill="auto"/>
            <w:noWrap/>
            <w:vAlign w:val="center"/>
          </w:tcPr>
          <w:p w14:paraId="6C7B922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鸡翅</w:t>
            </w:r>
          </w:p>
        </w:tc>
        <w:tc>
          <w:tcPr>
            <w:tcW w:w="1107" w:type="pct"/>
            <w:shd w:val="clear" w:color="auto" w:fill="auto"/>
            <w:noWrap/>
            <w:vAlign w:val="center"/>
          </w:tcPr>
          <w:p w14:paraId="4166020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33518FEC">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39AD887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411D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2C6D8A3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1534" w:type="pct"/>
            <w:shd w:val="clear" w:color="auto" w:fill="auto"/>
            <w:noWrap/>
            <w:vAlign w:val="center"/>
          </w:tcPr>
          <w:p w14:paraId="38869023">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鸡爪</w:t>
            </w:r>
          </w:p>
        </w:tc>
        <w:tc>
          <w:tcPr>
            <w:tcW w:w="1107" w:type="pct"/>
            <w:shd w:val="clear" w:color="auto" w:fill="auto"/>
            <w:noWrap/>
            <w:vAlign w:val="center"/>
          </w:tcPr>
          <w:p w14:paraId="6293FBF1">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49ADE91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5AB7ACB7">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CCA6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1" w:hRule="atLeast"/>
          <w:jc w:val="center"/>
        </w:trPr>
        <w:tc>
          <w:tcPr>
            <w:tcW w:w="660" w:type="pct"/>
            <w:shd w:val="clear" w:color="auto" w:fill="auto"/>
            <w:noWrap/>
            <w:vAlign w:val="center"/>
          </w:tcPr>
          <w:p w14:paraId="3B2EF86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1534" w:type="pct"/>
            <w:shd w:val="clear" w:color="auto" w:fill="auto"/>
            <w:noWrap/>
            <w:vAlign w:val="center"/>
          </w:tcPr>
          <w:p w14:paraId="00F6470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鸭翅</w:t>
            </w:r>
          </w:p>
        </w:tc>
        <w:tc>
          <w:tcPr>
            <w:tcW w:w="1107" w:type="pct"/>
            <w:shd w:val="clear" w:color="auto" w:fill="auto"/>
            <w:noWrap/>
            <w:vAlign w:val="center"/>
          </w:tcPr>
          <w:p w14:paraId="31CD7B94">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0034D7E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035352DB">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1CD41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jc w:val="center"/>
        </w:trPr>
        <w:tc>
          <w:tcPr>
            <w:tcW w:w="660" w:type="pct"/>
            <w:shd w:val="clear" w:color="auto" w:fill="auto"/>
            <w:noWrap/>
            <w:vAlign w:val="center"/>
          </w:tcPr>
          <w:p w14:paraId="286C446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1534" w:type="pct"/>
            <w:shd w:val="clear" w:color="auto" w:fill="auto"/>
            <w:noWrap/>
            <w:vAlign w:val="center"/>
          </w:tcPr>
          <w:p w14:paraId="0D6C9F04">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鸭脚</w:t>
            </w:r>
          </w:p>
        </w:tc>
        <w:tc>
          <w:tcPr>
            <w:tcW w:w="1107" w:type="pct"/>
            <w:shd w:val="clear" w:color="auto" w:fill="auto"/>
            <w:noWrap/>
            <w:vAlign w:val="center"/>
          </w:tcPr>
          <w:p w14:paraId="314A834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20D20A4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0D22F3A2">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4BD55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jc w:val="center"/>
        </w:trPr>
        <w:tc>
          <w:tcPr>
            <w:tcW w:w="660" w:type="pct"/>
            <w:shd w:val="clear" w:color="auto" w:fill="auto"/>
            <w:noWrap/>
            <w:vAlign w:val="center"/>
          </w:tcPr>
          <w:p w14:paraId="37B049F3">
            <w:pPr>
              <w:keepNext w:val="0"/>
              <w:keepLines w:val="0"/>
              <w:widowControl/>
              <w:suppressLineNumbers w:val="0"/>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w:t>
            </w:r>
          </w:p>
        </w:tc>
        <w:tc>
          <w:tcPr>
            <w:tcW w:w="1534" w:type="pct"/>
            <w:shd w:val="clear" w:color="auto" w:fill="auto"/>
            <w:noWrap/>
            <w:vAlign w:val="center"/>
          </w:tcPr>
          <w:p w14:paraId="2C60BE8D">
            <w:pPr>
              <w:keepNext w:val="0"/>
              <w:keepLines w:val="0"/>
              <w:widowControl/>
              <w:suppressLineNumbers w:val="0"/>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鸭肾</w:t>
            </w:r>
          </w:p>
        </w:tc>
        <w:tc>
          <w:tcPr>
            <w:tcW w:w="1107" w:type="pct"/>
            <w:shd w:val="clear" w:color="auto" w:fill="auto"/>
            <w:noWrap/>
            <w:vAlign w:val="center"/>
          </w:tcPr>
          <w:p w14:paraId="02209D7E">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60D2D3E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斤</w:t>
            </w:r>
          </w:p>
        </w:tc>
        <w:tc>
          <w:tcPr>
            <w:tcW w:w="1007" w:type="pct"/>
            <w:shd w:val="clear" w:color="auto" w:fill="auto"/>
            <w:noWrap/>
            <w:vAlign w:val="center"/>
          </w:tcPr>
          <w:p w14:paraId="470B7D73">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r w14:paraId="7533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0" w:hRule="atLeast"/>
          <w:jc w:val="center"/>
        </w:trPr>
        <w:tc>
          <w:tcPr>
            <w:tcW w:w="660" w:type="pct"/>
            <w:shd w:val="clear" w:color="auto" w:fill="auto"/>
            <w:noWrap/>
            <w:vAlign w:val="center"/>
          </w:tcPr>
          <w:p w14:paraId="1CFEFC9B">
            <w:pPr>
              <w:keepNext w:val="0"/>
              <w:keepLines w:val="0"/>
              <w:widowControl/>
              <w:suppressLineNumbers w:val="0"/>
              <w:jc w:val="left"/>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w:t>
            </w:r>
          </w:p>
        </w:tc>
        <w:tc>
          <w:tcPr>
            <w:tcW w:w="1534" w:type="pct"/>
            <w:shd w:val="clear" w:color="auto" w:fill="auto"/>
            <w:noWrap/>
            <w:vAlign w:val="center"/>
          </w:tcPr>
          <w:p w14:paraId="09A8CDD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107" w:type="pct"/>
            <w:shd w:val="clear" w:color="auto" w:fill="auto"/>
            <w:noWrap/>
            <w:vAlign w:val="center"/>
          </w:tcPr>
          <w:p w14:paraId="6D749CAC">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691" w:type="pct"/>
            <w:shd w:val="clear" w:color="auto" w:fill="auto"/>
            <w:noWrap/>
            <w:vAlign w:val="center"/>
          </w:tcPr>
          <w:p w14:paraId="3C83DE90">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c>
          <w:tcPr>
            <w:tcW w:w="1007" w:type="pct"/>
            <w:shd w:val="clear" w:color="auto" w:fill="auto"/>
            <w:noWrap/>
            <w:vAlign w:val="center"/>
          </w:tcPr>
          <w:p w14:paraId="557D3F8F">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u w:val="none"/>
                <w:lang w:val="en-US" w:eastAsia="zh-CN" w:bidi="ar"/>
              </w:rPr>
            </w:pPr>
          </w:p>
        </w:tc>
      </w:tr>
    </w:tbl>
    <w:p w14:paraId="4E34BB5E">
      <w:pPr>
        <w:keepNext w:val="0"/>
        <w:keepLines w:val="0"/>
        <w:pageBreakBefore w:val="0"/>
        <w:kinsoku/>
        <w:wordWrap/>
        <w:overflowPunct/>
        <w:topLinePunct w:val="0"/>
        <w:autoSpaceDE/>
        <w:autoSpaceDN/>
        <w:bidi w:val="0"/>
        <w:adjustRightInd/>
        <w:snapToGrid/>
        <w:ind w:firstLine="480" w:firstLineChars="200"/>
        <w:jc w:val="left"/>
        <w:rPr>
          <w:rFonts w:hint="default"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注：报价清单产品包括但不限于表中品目。</w:t>
      </w:r>
    </w:p>
    <w:p w14:paraId="0A17C3DA">
      <w:pPr>
        <w:keepNext w:val="0"/>
        <w:keepLines w:val="0"/>
        <w:pageBreakBefore w:val="0"/>
        <w:numPr>
          <w:ilvl w:val="0"/>
          <w:numId w:val="1"/>
        </w:numPr>
        <w:kinsoku/>
        <w:wordWrap/>
        <w:overflowPunct/>
        <w:topLinePunct w:val="0"/>
        <w:autoSpaceDE/>
        <w:autoSpaceDN/>
        <w:bidi w:val="0"/>
        <w:adjustRightInd/>
        <w:snapToGrid/>
        <w:ind w:left="-640" w:leftChars="0" w:firstLine="640" w:firstLineChars="0"/>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资格要求</w:t>
      </w:r>
    </w:p>
    <w:p w14:paraId="58FD8D97">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 xml:space="preserve"> 1.供应商应同时满足以下条件：</w:t>
      </w:r>
    </w:p>
    <w:p w14:paraId="0BF14F3D">
      <w:pPr>
        <w:keepNext w:val="0"/>
        <w:keepLines w:val="0"/>
        <w:pageBreakBefore w:val="0"/>
        <w:widowControl w:val="0"/>
        <w:numPr>
          <w:ilvl w:val="0"/>
          <w:numId w:val="0"/>
        </w:numPr>
        <w:kinsoku/>
        <w:wordWrap/>
        <w:overflowPunct/>
        <w:topLinePunct w:val="0"/>
        <w:autoSpaceDE/>
        <w:autoSpaceDN/>
        <w:bidi w:val="0"/>
        <w:adjustRightInd/>
        <w:snapToGrid/>
        <w:ind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（1）符合《中华人民共和国政府采购法》第二十二条规定的全部条件，包括但不限于：</w:t>
      </w:r>
    </w:p>
    <w:p w14:paraId="70402CC0">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具有独立承担民事责任的能力；</w:t>
      </w:r>
    </w:p>
    <w:p w14:paraId="35523D1B">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具有履行合同所必需的设备和专业技术能力；</w:t>
      </w:r>
    </w:p>
    <w:p w14:paraId="2EA3C436">
      <w:pPr>
        <w:keepNext w:val="0"/>
        <w:keepLines w:val="0"/>
        <w:pageBreakBefore w:val="0"/>
        <w:widowControl w:val="0"/>
        <w:numPr>
          <w:ilvl w:val="0"/>
          <w:numId w:val="0"/>
        </w:numPr>
        <w:kinsoku/>
        <w:wordWrap/>
        <w:overflowPunct/>
        <w:topLinePunct w:val="0"/>
        <w:autoSpaceDE/>
        <w:autoSpaceDN/>
        <w:bidi w:val="0"/>
        <w:adjustRightInd/>
        <w:snapToGrid/>
        <w:ind w:leftChars="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有依法缴纳税收和社会保障资金的良好记录。</w:t>
      </w:r>
    </w:p>
    <w:p w14:paraId="29877AE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（2）持有合法有效的《营业执照》（三证合一）及食品经营许可证（经营项目须包含生鲜肉类等采购品类）。</w:t>
      </w:r>
    </w:p>
    <w:p w14:paraId="62DD38F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（3）食品配送人员须持有有效期内的食品从业人员健康证明。</w:t>
      </w:r>
    </w:p>
    <w:p w14:paraId="4AD2523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2.本项目不接受联合体报价。</w:t>
      </w:r>
    </w:p>
    <w:p w14:paraId="6C017CE4">
      <w:pPr>
        <w:keepNext w:val="0"/>
        <w:keepLines w:val="0"/>
        <w:pageBreakBefore w:val="0"/>
        <w:numPr>
          <w:ilvl w:val="0"/>
          <w:numId w:val="0"/>
        </w:numPr>
        <w:kinsoku/>
        <w:wordWrap/>
        <w:overflowPunct/>
        <w:topLinePunct w:val="0"/>
        <w:autoSpaceDE/>
        <w:autoSpaceDN/>
        <w:bidi w:val="0"/>
        <w:adjustRightInd/>
        <w:snapToGrid/>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三、供应产品的质量要求</w:t>
      </w:r>
    </w:p>
    <w:p w14:paraId="6DC92AD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1.总体要求：</w:t>
      </w:r>
    </w:p>
    <w:p w14:paraId="2ACFFD2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t>食材无毒、无害、无污染，符合国家、行业及地方的食品卫生及安全标准，农产品符合国家、行业及地方的无公害农产品标准，安全、卫生和动植物检验、检疫项目按照国家有关规定执行</w:t>
      </w:r>
      <w:r>
        <w:rPr>
          <w:rFonts w:hint="eastAsia" w:asciiTheme="minorEastAsia" w:hAnsiTheme="minorEastAsia" w:cstheme="minorEastAsia"/>
          <w:color w:val="000000" w:themeColor="text1"/>
          <w:sz w:val="30"/>
          <w:szCs w:val="30"/>
          <w:lang w:val="en-US" w:eastAsia="zh-CN"/>
          <w14:textFill>
            <w14:solidFill>
              <w14:schemeClr w14:val="tx1"/>
            </w14:solidFill>
          </w14:textFill>
        </w:rPr>
        <w:t>。</w:t>
      </w:r>
    </w:p>
    <w:p w14:paraId="304DB3B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30"/>
          <w:szCs w:val="30"/>
          <w14:textFill>
            <w14:solidFill>
              <w14:schemeClr w14:val="tx1"/>
            </w14:solidFill>
          </w14:textFill>
        </w:rPr>
        <w:t>供应的肉类食品，需符合相关环境保护、知识产权等方面的法律要求，需符合</w:t>
      </w:r>
      <w:r>
        <w:rPr>
          <w:rFonts w:hint="eastAsia" w:asciiTheme="minorEastAsia" w:hAnsiTheme="minorEastAsia" w:cstheme="minorEastAsia"/>
          <w:color w:val="000000" w:themeColor="text1"/>
          <w:sz w:val="30"/>
          <w:szCs w:val="30"/>
          <w:lang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14:textFill>
            <w14:solidFill>
              <w14:schemeClr w14:val="tx1"/>
            </w14:solidFill>
          </w14:textFill>
        </w:rPr>
        <w:t>提出的有关特殊要求和质量标准。</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配送的家禽类渠道来源正规可溯，</w:t>
      </w:r>
      <w:r>
        <w:rPr>
          <w:rFonts w:hint="eastAsia" w:asciiTheme="minorEastAsia" w:hAnsiTheme="minorEastAsia" w:eastAsiaTheme="minorEastAsia" w:cstheme="minorEastAsia"/>
          <w:color w:val="000000" w:themeColor="text1"/>
          <w:sz w:val="30"/>
          <w:szCs w:val="30"/>
          <w14:textFill>
            <w14:solidFill>
              <w14:schemeClr w14:val="tx1"/>
            </w14:solidFill>
          </w14:textFill>
        </w:rPr>
        <w:t>每次送货时要将肉类食品等的卫生检验检疫报告随同供货清单交由</w:t>
      </w:r>
      <w:r>
        <w:rPr>
          <w:rFonts w:hint="eastAsia" w:asciiTheme="minorEastAsia" w:hAnsiTheme="minorEastAsia" w:cstheme="minorEastAsia"/>
          <w:color w:val="000000" w:themeColor="text1"/>
          <w:sz w:val="30"/>
          <w:szCs w:val="30"/>
          <w:lang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14:textFill>
            <w14:solidFill>
              <w14:schemeClr w14:val="tx1"/>
            </w14:solidFill>
          </w14:textFill>
        </w:rPr>
        <w:t>。</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配送的禽肉等渠道来源正规可溯。</w:t>
      </w:r>
    </w:p>
    <w:p w14:paraId="35963245">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禽类的表皮光滑，新鲜肥嫩，无内脏，眼球饱满或平坦，皮肤有光泽，根据品种的不同而呈现出家禽原有的自然颜色，肌肉切面有光泽，表皮微湿润，不粘手。具体质量要求</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包括但不限于以下内容：</w:t>
      </w:r>
    </w:p>
    <w:p w14:paraId="4E4BF10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土鸡：新鲜、洁净、无注水、无异味、无毛，180天以上，光鸡重约2.5～3.2斤/只。</w:t>
      </w:r>
    </w:p>
    <w:p w14:paraId="6C9A04C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果园</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鸡：新鲜、洁净，无注水，肉质鲜嫩，无异味，无毛，240 天以上，光鸡重约 4.5～5.5斤/只。</w:t>
      </w:r>
    </w:p>
    <w:p w14:paraId="49C00D8F">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老鸡：新鲜、洁净，无注水，无毛，肉质鲜嫩，无异味，360天以上，光鸡重约2.6～3.2斤/只。</w:t>
      </w:r>
    </w:p>
    <w:p w14:paraId="35DE2639">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项</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鸡：新鲜、洁净，肉质鲜嫩，无异味、无毛、无注水，180 天以上，光鸡重约2.5～3.2 斤/只。</w:t>
      </w:r>
    </w:p>
    <w:p w14:paraId="7BEF4B53">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水盆</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鸭：新鲜、洁净，无注水，无毛，肉质鲜嫩，无异味，鸭肉皮色泽略呈肉白色，180天以上，光鸭重约3.8～4.5斤/只。</w:t>
      </w:r>
    </w:p>
    <w:p w14:paraId="74A741FA">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木</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鸭：新鲜、洁净，无注水，无毛，肉质鲜嫩，无异味，鸭肉皮色泽略呈肉白色，180天以上，光鸭重约4.5～5 斤/只。</w:t>
      </w:r>
    </w:p>
    <w:p w14:paraId="5231A033">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老鸭：新鲜、洁净，无注水，无毛，肉质鲜嫩，无异味，鸭肉皮色泽略呈肉白色，360天以上，光鸭重约4～5斤/只。</w:t>
      </w:r>
    </w:p>
    <w:p w14:paraId="12086806">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default"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鸡胸肉：</w:t>
      </w:r>
      <w:r>
        <w:rPr>
          <w:rFonts w:hint="default"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鸡胸肉应来自符合国家检疫标准的健康肉鸡，不得使用病死鸡或来源不明的鸡肉</w:t>
      </w: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w:t>
      </w:r>
      <w:r>
        <w:rPr>
          <w:rFonts w:hint="default"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肉质紧密，呈均匀的淡粉色或淡红色，有弹性，无注水、淤血、血肿</w:t>
      </w: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无异味，无腐烂变质</w:t>
      </w:r>
      <w:r>
        <w:rPr>
          <w:rFonts w:hint="default"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等现象</w:t>
      </w: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w:t>
      </w:r>
    </w:p>
    <w:p w14:paraId="53F084F8">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鲜鸭肾</w:t>
      </w: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/鸡肾</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：新鲜、洁净，无异味，无腐烂变质。</w:t>
      </w:r>
    </w:p>
    <w:p w14:paraId="5D5AC8C2">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鸡花肠：</w:t>
      </w:r>
      <w:r>
        <w:rPr>
          <w:rFonts w:hint="default"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具有鸡花肠应有的色泽，无异常色泽变化</w:t>
      </w: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w:t>
      </w:r>
      <w:r>
        <w:rPr>
          <w:rFonts w:hint="default"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肉质紧实，弹性良好，</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无异味，无腐烂变质。</w:t>
      </w:r>
    </w:p>
    <w:p w14:paraId="08B0829D">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鸡爪/</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鸭爪</w:t>
      </w: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、鸡翅/鸭翅</w:t>
      </w:r>
      <w:r>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t>：新鲜、洁净，无异味，无腐烂变质。</w:t>
      </w:r>
    </w:p>
    <w:p w14:paraId="00B343C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kern w:val="2"/>
          <w:sz w:val="30"/>
          <w:szCs w:val="30"/>
          <w:lang w:val="en-US" w:eastAsia="zh-CN" w:bidi="ar-SA"/>
          <w14:textFill>
            <w14:solidFill>
              <w14:schemeClr w14:val="tx1"/>
            </w14:solidFill>
          </w14:textFill>
        </w:rPr>
        <w:t xml:space="preserve"> </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3.若出现质量问题或保质期不足的情况，</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有权拒绝接受所提供的物品或食品。若因食品质量引起食物中毒（经市场监督管理、卫生防疫部门鉴定），</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应承担全部法律责任，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的供货资格，终止合同。</w:t>
      </w:r>
    </w:p>
    <w:p w14:paraId="09F5CDD4">
      <w:pPr>
        <w:keepNext w:val="0"/>
        <w:keepLines w:val="0"/>
        <w:pageBreakBefore w:val="0"/>
        <w:numPr>
          <w:ilvl w:val="0"/>
          <w:numId w:val="0"/>
        </w:numPr>
        <w:kinsoku/>
        <w:wordWrap/>
        <w:overflowPunct/>
        <w:topLinePunct w:val="0"/>
        <w:autoSpaceDE/>
        <w:autoSpaceDN/>
        <w:bidi w:val="0"/>
        <w:adjustRightInd/>
        <w:snapToGrid/>
        <w:jc w:val="left"/>
        <w:textAlignment w:val="auto"/>
        <w:rPr>
          <w:rFonts w:hint="default" w:ascii="宋体" w:hAnsi="宋体" w:eastAsia="宋体" w:cs="宋体"/>
          <w:sz w:val="32"/>
          <w:szCs w:val="32"/>
          <w:lang w:val="en-US" w:eastAsia="zh-CN"/>
        </w:rPr>
      </w:pPr>
      <w:r>
        <w:rPr>
          <w:rFonts w:hint="eastAsia" w:ascii="宋体" w:hAnsi="宋体" w:eastAsia="宋体" w:cs="宋体"/>
          <w:sz w:val="32"/>
          <w:szCs w:val="32"/>
          <w:lang w:val="en-US" w:eastAsia="zh-CN"/>
        </w:rPr>
        <w:t>四、</w:t>
      </w:r>
      <w:r>
        <w:rPr>
          <w:rFonts w:hint="default" w:ascii="宋体" w:hAnsi="宋体" w:eastAsia="宋体" w:cs="宋体"/>
          <w:sz w:val="32"/>
          <w:szCs w:val="32"/>
          <w:lang w:val="en-US" w:eastAsia="zh-CN"/>
        </w:rPr>
        <w:t>食品配送便利性及相关配送要求</w:t>
      </w:r>
    </w:p>
    <w:p w14:paraId="45335BAE">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配送的肉类食材在正规肉联厂加工完毕后应8小时内配送给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对小量常用品的临时需求，能做到1小时内送到；对不合格产品，需及时更换，1小时内送到。因交通、天气等不可抗力导致的延误除外。</w:t>
      </w:r>
    </w:p>
    <w:p w14:paraId="541A812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每次供货时，应向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提供加盖公章的货物清单（出库单）和全额增值税普通发票或增值税专用发票等相关票据。</w:t>
      </w:r>
    </w:p>
    <w:p w14:paraId="34050DC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3.数量要求：保证配送产品的品种及数量的准确性，以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的验收数量为准，每次根据</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的电话或其他方式通知订购品种、数量后，按时运送物品到指定地点，</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随货提供注明货物名称、单位、数量、售价及总金额的商品送货清单，</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每次随货送上一式三份的送货清单，供双方验货后签字确认，</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持一份，</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持二份，作为送、收货的凭证。</w:t>
      </w:r>
    </w:p>
    <w:p w14:paraId="26075A6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4.</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对应急食品及政府扶贫农副产品采购有自主权，</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有权直接采购，不受</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和本项目制约。</w:t>
      </w:r>
    </w:p>
    <w:p w14:paraId="5377899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.运输要求：</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要有不少于1辆自有车辆保障</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运输，运输工具应清洁卫生无污染，食品运输需采用符合卫生标准的外包装和运载工具，并且要保持清洁和定期消毒。运输车厢的内舱，包括地面、墙面和顶，应使用抗腐蚀、防潮，易清洁消毒的材料。车厢内无不良气味、异味；运输途中严防日晒、雨淋，注意通风散热；应小心轻卸，严防机械损伤。食品堆放科学合理，避免造成食品的交叉污染；如对温度有要求的食品应确定食品的温度，记录送货车辆温度，并记录存档。</w:t>
      </w:r>
    </w:p>
    <w:p w14:paraId="445D38FD">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所报的货品价格均包含了货物、包装、运输、保险、税费及其他所有相关服务费用，</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不得以开具发票等手续为由再向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申请款项。</w:t>
      </w:r>
    </w:p>
    <w:p w14:paraId="7F34817A">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.最终提供货品品类和数量以</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提前通知为准。</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有权对供货清单（含货品品类、数量等）做适当修改调整。</w:t>
      </w:r>
    </w:p>
    <w:p w14:paraId="5E9DF47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除不可抗力，不得因其他任何理由延迟送货。</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如遇特殊情况需推迟送货，应提前通知</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。因</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原因延误交货时间的（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要求推迟的除外），</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有权自行采购，并由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承担由此产生的一切损失和费用。</w:t>
      </w:r>
    </w:p>
    <w:p w14:paraId="31C14646">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不得变更供货清单，应严格按采购文件要求（含商标、名称、产地、规格和重量等）供应，否则</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有权拒收。如因市场流通问题确实需要变更的，应书面向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申请。</w:t>
      </w:r>
    </w:p>
    <w:p w14:paraId="3260AC9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按采购协议规定的质量标准、采购清单上的品类及数量等对每次到货的产品进行严格的验收，</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未能履行采购文件和合同所定事项，或供应不合格的、假冒伪劣、以次充好或保质期不足的货品，</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有权拒绝接受所提供的物品或食品，给予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书面警告并记录在案，</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无条件收回所供应的食品并给予</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书面答复说明原因，造成的一切损失和费用由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负责，并在1小时内更换合格货品。产品不合格超过3次的，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有权取消供货资格，终止合同。</w:t>
      </w:r>
    </w:p>
    <w:p w14:paraId="784E9258">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在合同履行期间内保证对</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的货物供应，在供应的食材、食品出现明显问题时，</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有权对所供货物进行抽检，并交予有资质的检测机构进行检测（检测费用由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承担）。</w:t>
      </w:r>
    </w:p>
    <w:p w14:paraId="55BF2D4F">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12</w:t>
      </w:r>
      <w:bookmarkStart w:id="0" w:name="_GoBack"/>
      <w:bookmarkEnd w:id="0"/>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在供应过程中，如果发生出现质量问题或造成食物中毒，如变质等情况，经查实后确属供应方责任，</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应承担全部责任，主要包括食物中毒人员医疗费、误工费、事故处理费等，直至追究刑事责任。</w:t>
      </w:r>
    </w:p>
    <w:p w14:paraId="0AE6F7D7">
      <w:pPr>
        <w:keepNext w:val="0"/>
        <w:keepLines w:val="0"/>
        <w:pageBreakBefore w:val="0"/>
        <w:numPr>
          <w:ilvl w:val="0"/>
          <w:numId w:val="0"/>
        </w:numPr>
        <w:kinsoku/>
        <w:wordWrap/>
        <w:overflowPunct/>
        <w:topLinePunct w:val="0"/>
        <w:autoSpaceDE/>
        <w:autoSpaceDN/>
        <w:bidi w:val="0"/>
        <w:adjustRightInd/>
        <w:snapToGrid/>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五、报价、结算方式</w:t>
      </w:r>
    </w:p>
    <w:p w14:paraId="755E3ED5">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1.报价必须含以下部分：</w:t>
      </w:r>
    </w:p>
    <w:p w14:paraId="0D4EAA7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货物、服务费用；</w:t>
      </w:r>
    </w:p>
    <w:p w14:paraId="51CC3AF3">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1.2报价需包含必要的保险费用和各项税金费用；</w:t>
      </w:r>
    </w:p>
    <w:p w14:paraId="139612C2">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1.3报价需包含购置、检验、粗加工、分拣、包装、运输、仓储、装卸、配送、搬运、深加工、检验检测、售后服务、雇员费用、管理费等合同履行过程中的应预见和不可预见的一切费用。</w:t>
      </w:r>
    </w:p>
    <w:p w14:paraId="15300A1C">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2.结算方式：</w:t>
      </w:r>
    </w:p>
    <w:p w14:paraId="4EF96057">
      <w:pPr>
        <w:keepNext w:val="0"/>
        <w:keepLines w:val="0"/>
        <w:pageBreakBefore w:val="0"/>
        <w:widowControl w:val="0"/>
        <w:numPr>
          <w:ilvl w:val="0"/>
          <w:numId w:val="0"/>
        </w:numPr>
        <w:kinsoku/>
        <w:wordWrap/>
        <w:overflowPunct/>
        <w:topLinePunct w:val="0"/>
        <w:autoSpaceDE/>
        <w:autoSpaceDN/>
        <w:bidi w:val="0"/>
        <w:adjustRightInd/>
        <w:snapToGrid/>
        <w:ind w:leftChars="0" w:firstLine="600" w:firstLineChars="200"/>
        <w:jc w:val="left"/>
        <w:textAlignment w:val="auto"/>
        <w:rPr>
          <w:rFonts w:hint="default" w:asciiTheme="minorEastAsia" w:hAnsiTheme="minorEastAsia" w:eastAsiaTheme="minorEastAsia" w:cstheme="minorEastAsia"/>
          <w:color w:val="000000" w:themeColor="text1"/>
          <w:sz w:val="30"/>
          <w:szCs w:val="30"/>
          <w:lang w:val="en-US" w:eastAsia="zh-CN"/>
          <w14:textFill>
            <w14:solidFill>
              <w14:schemeClr w14:val="tx1"/>
            </w14:solidFill>
          </w14:textFill>
        </w:rPr>
      </w:pP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通过本合同列明的公对公账户向</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转账，</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对采购品目数量最终以实际购买的经双方验收确认的种类及数量进行结算（按月支付一次）。</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必须每月10日前向</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提供详细的物品销售清单，经与</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的收货凭证核对无误</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签字确认后，由</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按当次结算的实收金额出具合法有效的税务发票，</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收到发票后3个月内一次性付清货款。</w:t>
      </w:r>
      <w:r>
        <w:rPr>
          <w:rFonts w:hint="eastAsia" w:asciiTheme="minorEastAsia" w:hAnsiTheme="minorEastAsia" w:cstheme="minorEastAsia"/>
          <w:color w:val="000000" w:themeColor="text1"/>
          <w:sz w:val="30"/>
          <w:szCs w:val="30"/>
          <w:lang w:val="en-US" w:eastAsia="zh-CN"/>
          <w14:textFill>
            <w14:solidFill>
              <w14:schemeClr w14:val="tx1"/>
            </w14:solidFill>
          </w14:textFill>
        </w:rPr>
        <w:t>成交方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未开具合法有效的对应金额的发票的，</w:t>
      </w:r>
      <w:r>
        <w:rPr>
          <w:rFonts w:hint="eastAsia" w:asciiTheme="minorEastAsia" w:hAnsiTheme="minorEastAsia" w:cstheme="minorEastAsia"/>
          <w:color w:val="000000" w:themeColor="text1"/>
          <w:sz w:val="30"/>
          <w:szCs w:val="30"/>
          <w:lang w:val="en-US" w:eastAsia="zh-CN"/>
          <w14:textFill>
            <w14:solidFill>
              <w14:schemeClr w14:val="tx1"/>
            </w14:solidFill>
          </w14:textFill>
        </w:rPr>
        <w:t>院方</w:t>
      </w:r>
      <w:r>
        <w:rPr>
          <w:rFonts w:hint="eastAsia" w:asciiTheme="minorEastAsia" w:hAnsiTheme="minorEastAsia" w:eastAsiaTheme="minorEastAsia" w:cstheme="minorEastAsia"/>
          <w:color w:val="000000" w:themeColor="text1"/>
          <w:sz w:val="30"/>
          <w:szCs w:val="30"/>
          <w:lang w:val="en-US" w:eastAsia="zh-CN"/>
          <w14:textFill>
            <w14:solidFill>
              <w14:schemeClr w14:val="tx1"/>
            </w14:solidFill>
          </w14:textFill>
        </w:rPr>
        <w:t>有权不支付相应款项。</w:t>
      </w:r>
    </w:p>
    <w:p w14:paraId="4E5DA8E0">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jc w:val="left"/>
        <w:textAlignment w:val="auto"/>
        <w:rPr>
          <w:rFonts w:hint="default"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p>
    <w:p w14:paraId="5782D364">
      <w:pPr>
        <w:keepNext w:val="0"/>
        <w:keepLines w:val="0"/>
        <w:pageBreakBefore w:val="0"/>
        <w:widowControl/>
        <w:numPr>
          <w:ilvl w:val="0"/>
          <w:numId w:val="0"/>
        </w:numPr>
        <w:kinsoku/>
        <w:wordWrap/>
        <w:overflowPunct/>
        <w:topLinePunct w:val="0"/>
        <w:autoSpaceDE/>
        <w:autoSpaceDN/>
        <w:bidi w:val="0"/>
        <w:adjustRightInd/>
        <w:snapToGrid/>
        <w:spacing w:line="240" w:lineRule="auto"/>
        <w:ind w:right="0" w:rightChars="0" w:firstLine="600" w:firstLineChars="200"/>
        <w:jc w:val="left"/>
        <w:textAlignment w:val="auto"/>
        <w:rPr>
          <w:rFonts w:hint="eastAsia" w:asciiTheme="minorEastAsia" w:hAnsiTheme="minorEastAsia" w:eastAsiaTheme="minorEastAsia" w:cstheme="minorEastAsia"/>
          <w:color w:val="000000" w:themeColor="text1"/>
          <w:kern w:val="2"/>
          <w:sz w:val="30"/>
          <w:szCs w:val="30"/>
          <w:lang w:val="en-US" w:eastAsia="zh-CN" w:bidi="ar-SA"/>
          <w14:textFill>
            <w14:solidFill>
              <w14:schemeClr w14:val="tx1"/>
            </w14:solidFill>
          </w14:textFill>
        </w:rPr>
      </w:pPr>
    </w:p>
    <w:p w14:paraId="3DB69E9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60BE47"/>
    <w:multiLevelType w:val="singleLevel"/>
    <w:tmpl w:val="7860BE47"/>
    <w:lvl w:ilvl="0" w:tentative="0">
      <w:start w:val="2"/>
      <w:numFmt w:val="chineseCounting"/>
      <w:suff w:val="nothing"/>
      <w:lvlText w:val="%1、"/>
      <w:lvlJc w:val="left"/>
      <w:pPr>
        <w:ind w:left="-6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1A21FA"/>
    <w:rsid w:val="00C91C98"/>
    <w:rsid w:val="07FF0B3D"/>
    <w:rsid w:val="08B42AD4"/>
    <w:rsid w:val="0ACF1994"/>
    <w:rsid w:val="1EDF6DFF"/>
    <w:rsid w:val="2014559A"/>
    <w:rsid w:val="258424AE"/>
    <w:rsid w:val="26A52CA6"/>
    <w:rsid w:val="271A21FA"/>
    <w:rsid w:val="2AA1765E"/>
    <w:rsid w:val="32674AC8"/>
    <w:rsid w:val="3BA320B3"/>
    <w:rsid w:val="4FA92276"/>
    <w:rsid w:val="51162EB6"/>
    <w:rsid w:val="5A870490"/>
    <w:rsid w:val="61AF3E33"/>
    <w:rsid w:val="68A20819"/>
    <w:rsid w:val="6A3B14C4"/>
    <w:rsid w:val="7408658E"/>
    <w:rsid w:val="77D12E88"/>
    <w:rsid w:val="7CC31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2826</Words>
  <Characters>2896</Characters>
  <Lines>0</Lines>
  <Paragraphs>0</Paragraphs>
  <TotalTime>0</TotalTime>
  <ScaleCrop>false</ScaleCrop>
  <LinksUpToDate>false</LinksUpToDate>
  <CharactersWithSpaces>2906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2025-03-25T01:09:00Z</dcterms:created>
  <dc:creator> `τīи9</dc:creator>
  <cp:lastModifiedBy>秋秋</cp:lastModifiedBy>
  <dcterms:modified xsi:type="dcterms:W3CDTF">2025-03-27T09:53:29Z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F364836BC0444F51A3ACF86F3A00B7D6_13</vt:lpwstr>
  </property>
  <property fmtid="{D5CDD505-2E9C-101B-9397-08002B2CF9AE}" pid="4" name="KSOTemplateDocerSaveRecord">
    <vt:lpwstr>eyJoZGlkIjoiY2Q2MjU2MzMxMTIyNzIyYTQyZjg1OTZhMmRkYzhlY2QiLCJ1c2VySWQiOiI0MTcxNjY3MTMifQ==</vt:lpwstr>
  </property>
</Properties>
</file>