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76DFB">
      <w:pPr>
        <w:pStyle w:val="2"/>
        <w:spacing w:line="580" w:lineRule="exact"/>
        <w:jc w:val="cente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中山大学附属第一医院广西医院</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采购制定团体标准服务项目技术参数需求及评分标准</w:t>
      </w:r>
    </w:p>
    <w:bookmarkEnd w:id="0"/>
    <w:p w14:paraId="6B8019EC">
      <w:pPr>
        <w:pStyle w:val="2"/>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p>
    <w:tbl>
      <w:tblPr>
        <w:tblStyle w:val="6"/>
        <w:tblW w:w="5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18"/>
        <w:gridCol w:w="514"/>
        <w:gridCol w:w="549"/>
        <w:gridCol w:w="542"/>
        <w:gridCol w:w="6270"/>
      </w:tblGrid>
      <w:tr w14:paraId="3103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14:paraId="2E44688C">
            <w:pPr>
              <w:spacing w:line="400" w:lineRule="exact"/>
              <w:textAlignment w:val="baseline"/>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（一）项目要求及技术需求</w:t>
            </w:r>
          </w:p>
        </w:tc>
      </w:tr>
      <w:tr w14:paraId="18DD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 w:type="pct"/>
            <w:vAlign w:val="center"/>
          </w:tcPr>
          <w:p w14:paraId="4AF9FD05">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项号</w:t>
            </w:r>
          </w:p>
        </w:tc>
        <w:tc>
          <w:tcPr>
            <w:tcW w:w="731" w:type="pct"/>
            <w:gridSpan w:val="2"/>
            <w:vAlign w:val="center"/>
          </w:tcPr>
          <w:p w14:paraId="6C27C40E">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301" w:type="pct"/>
            <w:vAlign w:val="center"/>
          </w:tcPr>
          <w:p w14:paraId="36905EF6">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297" w:type="pct"/>
            <w:vAlign w:val="center"/>
          </w:tcPr>
          <w:p w14:paraId="16E0804D">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w:t>
            </w:r>
          </w:p>
        </w:tc>
        <w:tc>
          <w:tcPr>
            <w:tcW w:w="3436" w:type="pct"/>
            <w:vAlign w:val="center"/>
          </w:tcPr>
          <w:p w14:paraId="731D82A1">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服务内容及要求</w:t>
            </w:r>
          </w:p>
        </w:tc>
      </w:tr>
      <w:tr w14:paraId="49F9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 w:type="pct"/>
            <w:vAlign w:val="center"/>
          </w:tcPr>
          <w:p w14:paraId="320AC5AB">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731" w:type="pct"/>
            <w:gridSpan w:val="2"/>
            <w:vAlign w:val="center"/>
          </w:tcPr>
          <w:p w14:paraId="77F36B4C">
            <w:pPr>
              <w:spacing w:line="400" w:lineRule="exact"/>
              <w:jc w:val="center"/>
              <w:textAlignment w:val="baseline"/>
              <w:rPr>
                <w:rFonts w:hint="default" w:eastAsiaTheme="minor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团体标准</w:t>
            </w:r>
          </w:p>
        </w:tc>
        <w:tc>
          <w:tcPr>
            <w:tcW w:w="301" w:type="pct"/>
            <w:vAlign w:val="center"/>
          </w:tcPr>
          <w:p w14:paraId="43FE6939">
            <w:pPr>
              <w:spacing w:line="400" w:lineRule="exact"/>
              <w:jc w:val="center"/>
              <w:textAlignment w:val="baseline"/>
              <w:rPr>
                <w:rFonts w:hint="eastAsia" w:eastAsiaTheme="minorEastAsia"/>
                <w:color w:val="000000" w:themeColor="text1"/>
                <w:kern w:val="0"/>
                <w:highlight w:val="none"/>
                <w:lang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3</w:t>
            </w:r>
          </w:p>
        </w:tc>
        <w:tc>
          <w:tcPr>
            <w:tcW w:w="297" w:type="pct"/>
            <w:vAlign w:val="center"/>
          </w:tcPr>
          <w:p w14:paraId="03307F10">
            <w:pPr>
              <w:spacing w:line="400" w:lineRule="exact"/>
              <w:jc w:val="center"/>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项</w:t>
            </w:r>
          </w:p>
        </w:tc>
        <w:tc>
          <w:tcPr>
            <w:tcW w:w="3436" w:type="pct"/>
            <w:vAlign w:val="center"/>
          </w:tcPr>
          <w:p w14:paraId="1F5E3525">
            <w:pPr>
              <w:pStyle w:val="8"/>
              <w:spacing w:line="400" w:lineRule="exact"/>
              <w:ind w:firstLine="422"/>
              <w:textAlignment w:val="baseline"/>
              <w:rPr>
                <w:rFonts w:hint="default"/>
                <w:b/>
                <w:bCs/>
                <w:color w:val="000000" w:themeColor="text1"/>
                <w:kern w:val="0"/>
                <w:highlight w:val="none"/>
                <w:lang w:val="en-US"/>
                <w14:textFill>
                  <w14:solidFill>
                    <w14:schemeClr w14:val="tx1"/>
                  </w14:solidFill>
                </w14:textFill>
              </w:rPr>
            </w:pPr>
            <w:r>
              <w:rPr>
                <w:b/>
                <w:bCs/>
                <w:color w:val="000000" w:themeColor="text1"/>
                <w:kern w:val="0"/>
                <w:highlight w:val="none"/>
                <w14:textFill>
                  <w14:solidFill>
                    <w14:schemeClr w14:val="tx1"/>
                  </w14:solidFill>
                </w14:textFill>
              </w:rPr>
              <w:t>一、</w:t>
            </w:r>
            <w:r>
              <w:rPr>
                <w:rFonts w:hint="eastAsia"/>
                <w:b/>
                <w:bCs/>
                <w:color w:val="000000" w:themeColor="text1"/>
                <w:kern w:val="0"/>
                <w:highlight w:val="none"/>
                <w:lang w:val="en-US" w:eastAsia="zh-CN"/>
                <w14:textFill>
                  <w14:solidFill>
                    <w14:schemeClr w14:val="tx1"/>
                  </w14:solidFill>
                </w14:textFill>
              </w:rPr>
              <w:t>服务方案</w:t>
            </w:r>
          </w:p>
          <w:p w14:paraId="3AA1C273">
            <w:pPr>
              <w:pStyle w:val="8"/>
              <w:spacing w:line="400" w:lineRule="exact"/>
              <w:ind w:firstLine="422"/>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eastAsia="zh-CN"/>
                <w14:textFill>
                  <w14:solidFill>
                    <w14:schemeClr w14:val="tx1"/>
                  </w14:solidFill>
                </w14:textFill>
              </w:rPr>
              <w:t>（</w:t>
            </w:r>
            <w:r>
              <w:rPr>
                <w:rFonts w:hint="eastAsia"/>
                <w:color w:val="000000" w:themeColor="text1"/>
                <w:kern w:val="0"/>
                <w:highlight w:val="none"/>
                <w:lang w:val="en-US" w:eastAsia="zh-CN"/>
                <w14:textFill>
                  <w14:solidFill>
                    <w14:schemeClr w14:val="tx1"/>
                  </w14:solidFill>
                </w14:textFill>
              </w:rPr>
              <w:t>一</w:t>
            </w:r>
            <w:r>
              <w:rPr>
                <w:rFonts w:hint="eastAsia"/>
                <w:color w:val="000000" w:themeColor="text1"/>
                <w:kern w:val="0"/>
                <w:highlight w:val="none"/>
                <w:lang w:eastAsia="zh-CN"/>
                <w14:textFill>
                  <w14:solidFill>
                    <w14:schemeClr w14:val="tx1"/>
                  </w14:solidFill>
                </w14:textFill>
              </w:rPr>
              <w:t>）</w:t>
            </w:r>
            <w:r>
              <w:rPr>
                <w:rFonts w:hint="eastAsia"/>
                <w:color w:val="000000" w:themeColor="text1"/>
                <w:kern w:val="0"/>
                <w:highlight w:val="none"/>
                <w:lang w:val="en-US" w:eastAsia="zh-CN"/>
                <w14:textFill>
                  <w14:solidFill>
                    <w14:schemeClr w14:val="tx1"/>
                  </w14:solidFill>
                </w14:textFill>
              </w:rPr>
              <w:t>标准调研</w:t>
            </w:r>
          </w:p>
          <w:p w14:paraId="78BA7B60">
            <w:pPr>
              <w:pStyle w:val="8"/>
              <w:spacing w:line="400" w:lineRule="exact"/>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1. 审查标准的合法性、合规性，包括对标准编制的合法程序、标准内容是否涉及知识产权、是否符合国家有关法律法规和规章的要求进行审查。</w:t>
            </w:r>
          </w:p>
          <w:p w14:paraId="12AC067E">
            <w:pPr>
              <w:pStyle w:val="8"/>
              <w:spacing w:line="400" w:lineRule="exact"/>
              <w:ind w:firstLine="422"/>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2. 审查标准的全面性、协调性，对标准的范围、内容、指标、技术要求等进行全面审查，确保标准之间的协调性和一致性，避免与其他相关标准之间的重复、矛盾和冲突。</w:t>
            </w:r>
          </w:p>
          <w:p w14:paraId="250506F0">
            <w:pPr>
              <w:pStyle w:val="8"/>
              <w:spacing w:line="400" w:lineRule="exact"/>
              <w:ind w:firstLine="422"/>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3. 审查标准的可行性和必要性，对标准的技术方案、试验方法、验证方法等进行审查，确保标准的实施具有可行性和可操作性，同时评估标准的实施对行业发展和市场的影响。</w:t>
            </w:r>
          </w:p>
          <w:p w14:paraId="18D271AE">
            <w:pPr>
              <w:pStyle w:val="8"/>
              <w:spacing w:line="400" w:lineRule="exact"/>
              <w:ind w:firstLine="422"/>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4. 评估标准的创新性和先进性，对标准的技术水平、创新性、先进性进行评价，确保标准能够反映行业前沿技术和创新成果，推动行业的科技进步。</w:t>
            </w:r>
          </w:p>
          <w:p w14:paraId="23180C51">
            <w:pPr>
              <w:pStyle w:val="8"/>
              <w:spacing w:line="400" w:lineRule="exact"/>
              <w:ind w:firstLine="422"/>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5. 提出修改意见和建议、根据审查结果，提出对标准草案的修改意见和建议，包括文字表述、技术内容的调整和优化等，以确保标准的质量和水平。</w:t>
            </w:r>
          </w:p>
          <w:p w14:paraId="442F01CD">
            <w:pPr>
              <w:pStyle w:val="8"/>
              <w:spacing w:line="400" w:lineRule="exact"/>
              <w:ind w:firstLine="422"/>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通过行业调研、座谈、专家咨询等方式，组织相关部门和有关专家研究标准编制的目的、意义、范围和主要技术内容等，编写</w:t>
            </w:r>
            <w:r>
              <w:rPr>
                <w:rFonts w:hint="eastAsia"/>
                <w:color w:val="000000" w:themeColor="text1"/>
                <w:kern w:val="0"/>
                <w:highlight w:val="none"/>
                <w:lang w:eastAsia="zh-CN"/>
                <w14:textFill>
                  <w14:solidFill>
                    <w14:schemeClr w14:val="tx1"/>
                  </w14:solidFill>
                </w14:textFill>
              </w:rPr>
              <w:t>《</w:t>
            </w:r>
            <w:r>
              <w:rPr>
                <w:rFonts w:hint="eastAsia"/>
                <w:color w:val="000000" w:themeColor="text1"/>
                <w:kern w:val="0"/>
                <w:highlight w:val="none"/>
                <w:lang w:val="en-US" w:eastAsia="zh-CN"/>
                <w14:textFill>
                  <w14:solidFill>
                    <w14:schemeClr w14:val="tx1"/>
                  </w14:solidFill>
                </w14:textFill>
              </w:rPr>
              <w:t>团体标准制定的工作方案</w:t>
            </w:r>
            <w:r>
              <w:rPr>
                <w:rFonts w:hint="eastAsia"/>
                <w:color w:val="000000" w:themeColor="text1"/>
                <w:kern w:val="0"/>
                <w:highlight w:val="none"/>
                <w:lang w:eastAsia="zh-CN"/>
                <w14:textFill>
                  <w14:solidFill>
                    <w14:schemeClr w14:val="tx1"/>
                  </w14:solidFill>
                </w14:textFill>
              </w:rPr>
              <w:t>》</w:t>
            </w:r>
            <w:r>
              <w:rPr>
                <w:rFonts w:hint="eastAsia"/>
                <w:color w:val="000000" w:themeColor="text1"/>
                <w:kern w:val="0"/>
                <w:highlight w:val="none"/>
                <w14:textFill>
                  <w14:solidFill>
                    <w14:schemeClr w14:val="tx1"/>
                  </w14:solidFill>
                </w14:textFill>
              </w:rPr>
              <w:t>。按照</w:t>
            </w:r>
            <w:r>
              <w:rPr>
                <w:rFonts w:hint="eastAsia"/>
                <w:color w:val="000000" w:themeColor="text1"/>
                <w:kern w:val="0"/>
                <w:highlight w:val="none"/>
                <w:lang w:eastAsia="zh-CN"/>
                <w14:textFill>
                  <w14:solidFill>
                    <w14:schemeClr w14:val="tx1"/>
                  </w14:solidFill>
                </w14:textFill>
              </w:rPr>
              <w:t>团体标准</w:t>
            </w:r>
            <w:r>
              <w:rPr>
                <w:rFonts w:hint="eastAsia"/>
                <w:color w:val="000000" w:themeColor="text1"/>
                <w:kern w:val="0"/>
                <w:highlight w:val="none"/>
                <w:lang w:val="en-US" w:eastAsia="zh-CN"/>
                <w14:textFill>
                  <w14:solidFill>
                    <w14:schemeClr w14:val="tx1"/>
                  </w14:solidFill>
                </w14:textFill>
              </w:rPr>
              <w:t>制定</w:t>
            </w:r>
            <w:r>
              <w:rPr>
                <w:rFonts w:hint="eastAsia"/>
                <w:color w:val="000000" w:themeColor="text1"/>
                <w:kern w:val="0"/>
                <w:highlight w:val="none"/>
                <w14:textFill>
                  <w14:solidFill>
                    <w14:schemeClr w14:val="tx1"/>
                  </w14:solidFill>
                </w14:textFill>
              </w:rPr>
              <w:t>要求，完成标准及编制说明内部讨论稿、征求意见稿、送审稿、报批稿的研制，上报广西壮族自治区市场监督管理局，直至完成标准发布实施。</w:t>
            </w:r>
          </w:p>
          <w:p w14:paraId="6327339D">
            <w:pPr>
              <w:pStyle w:val="8"/>
              <w:numPr>
                <w:ilvl w:val="0"/>
                <w:numId w:val="1"/>
              </w:numPr>
              <w:spacing w:line="400" w:lineRule="exact"/>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标准提案</w:t>
            </w:r>
          </w:p>
          <w:p w14:paraId="4BAE8AAA">
            <w:pPr>
              <w:pStyle w:val="8"/>
              <w:numPr>
                <w:ilvl w:val="0"/>
                <w:numId w:val="2"/>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组织工作人员进行实地调研，收集/研究团体标准编制的目的和意义、该项团体标准有关的国内外情况、团体标准主要内容和相关说明等，填写项目建议书和起草单位知情同意书。</w:t>
            </w:r>
          </w:p>
          <w:p w14:paraId="7076B7F9">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围绕该项团体标准制定的相关要素进行实地调研，收集关键数据和材料查阅相关标准和试验(实验)、记录等方面的材料提供相关法律、法规文件在全国团体信息平台上发布该项团体标准征集申报工作的通知。</w:t>
            </w:r>
          </w:p>
          <w:p w14:paraId="52CA48CA">
            <w:pPr>
              <w:pStyle w:val="8"/>
              <w:numPr>
                <w:ilvl w:val="0"/>
                <w:numId w:val="2"/>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团体标准立项</w:t>
            </w:r>
          </w:p>
          <w:p w14:paraId="054A3FB7">
            <w:pPr>
              <w:pStyle w:val="8"/>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由标准制定发起单位或协会会员向相关部门提出立项申请，提交立项申请函件，填写团标制修订项目建议书，按照团体标准既定程序进行立项</w:t>
            </w:r>
            <w:r>
              <w:rPr>
                <w:rFonts w:hint="eastAsia"/>
                <w:color w:val="000000" w:themeColor="text1"/>
                <w:kern w:val="0"/>
                <w:highlight w:val="none"/>
                <w:lang w:val="en-US" w:eastAsia="zh-CN"/>
                <w14:textFill>
                  <w14:solidFill>
                    <w14:schemeClr w14:val="tx1"/>
                  </w14:solidFill>
                </w14:textFill>
              </w:rPr>
              <w:t>。</w:t>
            </w:r>
          </w:p>
          <w:p w14:paraId="5FB7DDEC">
            <w:pPr>
              <w:pStyle w:val="8"/>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编制《项目建议书》</w:t>
            </w: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编写</w:t>
            </w: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团体标准文本草案。提交《项目建议书》准备相关资料，提交立项材料在全国团体信息平台上发布该项团体标准立项的通知</w:t>
            </w:r>
            <w:r>
              <w:rPr>
                <w:rFonts w:hint="eastAsia"/>
                <w:color w:val="000000" w:themeColor="text1"/>
                <w:kern w:val="0"/>
                <w:highlight w:val="none"/>
                <w:lang w:val="en-US" w:eastAsia="zh-CN"/>
                <w14:textFill>
                  <w14:solidFill>
                    <w14:schemeClr w14:val="tx1"/>
                  </w14:solidFill>
                </w14:textFill>
              </w:rPr>
              <w:t>。</w:t>
            </w:r>
          </w:p>
          <w:p w14:paraId="29A67A8E">
            <w:pPr>
              <w:pStyle w:val="8"/>
              <w:numPr>
                <w:ilvl w:val="0"/>
                <w:numId w:val="2"/>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标准起草</w:t>
            </w:r>
          </w:p>
          <w:p w14:paraId="03E3C559">
            <w:pPr>
              <w:pStyle w:val="8"/>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成立专门的团体标准制修订项目工作组，收集资料，按照团体标准的制定流程，开展起草团体标准的实验验证，形成征求意见稿与合规检查表，并编写标准编制说明</w:t>
            </w:r>
            <w:r>
              <w:rPr>
                <w:rFonts w:hint="eastAsia"/>
                <w:color w:val="000000" w:themeColor="text1"/>
                <w:kern w:val="0"/>
                <w:highlight w:val="none"/>
                <w:lang w:val="en-US" w:eastAsia="zh-CN"/>
                <w14:textFill>
                  <w14:solidFill>
                    <w14:schemeClr w14:val="tx1"/>
                  </w14:solidFill>
                </w14:textFill>
              </w:rPr>
              <w:t>。</w:t>
            </w:r>
          </w:p>
          <w:p w14:paraId="76CEE76F">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标准草案根据立项专家意见，完善</w:t>
            </w: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团体标准草案</w:t>
            </w: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严格按照(GBT1.1-2020)《标准化工作导则第1部分:标准化文件的结构和起草规则》的要求编写。</w:t>
            </w:r>
          </w:p>
          <w:p w14:paraId="4F12C873">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明确技术要求</w:t>
            </w:r>
          </w:p>
          <w:p w14:paraId="1F68CBF9">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明确相关术语</w:t>
            </w:r>
          </w:p>
          <w:p w14:paraId="24D71CAD">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明确基本原则</w:t>
            </w:r>
          </w:p>
          <w:p w14:paraId="5E3FE131">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明确</w:t>
            </w: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标准</w:t>
            </w:r>
          </w:p>
          <w:p w14:paraId="6BCFF178">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编制内容</w:t>
            </w:r>
          </w:p>
          <w:p w14:paraId="03110822">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明确标准对象和范围</w:t>
            </w:r>
          </w:p>
          <w:p w14:paraId="424B7842">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明确标准的经济、社会等效益</w:t>
            </w:r>
          </w:p>
          <w:p w14:paraId="68068053">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标准文本</w:t>
            </w:r>
          </w:p>
          <w:p w14:paraId="56A19E62">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color w:val="000000" w:themeColor="text1"/>
                <w:highlight w:val="none"/>
                <w14:textFill>
                  <w14:solidFill>
                    <w14:schemeClr w14:val="tx1"/>
                  </w14:solidFill>
                </w14:textFill>
              </w:rPr>
              <w:t>《标准化工作导则 第1部分：标准化文件的结构和起草规则》（GB/T 1.1-2020）</w:t>
            </w:r>
            <w:r>
              <w:rPr>
                <w:rFonts w:hint="default"/>
                <w:color w:val="000000" w:themeColor="text1"/>
                <w:kern w:val="0"/>
                <w:highlight w:val="none"/>
                <w:lang w:val="en-US" w:eastAsia="zh-CN"/>
                <w14:textFill>
                  <w14:solidFill>
                    <w14:schemeClr w14:val="tx1"/>
                  </w14:solidFill>
                </w14:textFill>
              </w:rPr>
              <w:t>规范标准文本。</w:t>
            </w:r>
          </w:p>
          <w:p w14:paraId="07872986">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确定技术要求</w:t>
            </w:r>
          </w:p>
          <w:p w14:paraId="6F301805">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确定相关术语</w:t>
            </w:r>
          </w:p>
          <w:p w14:paraId="2A65D96B">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确定基本原则</w:t>
            </w:r>
          </w:p>
          <w:p w14:paraId="7FA831AE">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确定标准内容</w:t>
            </w:r>
          </w:p>
          <w:p w14:paraId="4C807051">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确定标准对象和范围</w:t>
            </w:r>
          </w:p>
          <w:p w14:paraId="52C77733">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材料编写</w:t>
            </w:r>
          </w:p>
          <w:p w14:paraId="21270FFD">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提供标准关键要素及要求的相关支撑材料起草《团体标准&lt;</w:t>
            </w:r>
            <w:r>
              <w:rPr>
                <w:rFonts w:hint="eastAsia"/>
                <w:color w:val="000000" w:themeColor="text1"/>
                <w:kern w:val="0"/>
                <w:highlight w:val="none"/>
                <w:lang w:val="en-US" w:eastAsia="zh-CN"/>
                <w14:textFill>
                  <w14:solidFill>
                    <w14:schemeClr w14:val="tx1"/>
                  </w14:solidFill>
                </w14:textFill>
              </w:rPr>
              <w:t>×××××××</w:t>
            </w:r>
            <w:r>
              <w:rPr>
                <w:rFonts w:hint="default"/>
                <w:color w:val="000000" w:themeColor="text1"/>
                <w:kern w:val="0"/>
                <w:highlight w:val="none"/>
                <w:lang w:val="en-US" w:eastAsia="zh-CN"/>
                <w14:textFill>
                  <w14:solidFill>
                    <w14:schemeClr w14:val="tx1"/>
                  </w14:solidFill>
                </w14:textFill>
              </w:rPr>
              <w:t>&gt;编制说明》</w:t>
            </w:r>
          </w:p>
          <w:p w14:paraId="09AB3EE8">
            <w:pPr>
              <w:pStyle w:val="8"/>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收集汇总编写《团体标准征求意见汇总</w:t>
            </w:r>
            <w:r>
              <w:rPr>
                <w:rFonts w:hint="eastAsia"/>
                <w:color w:val="000000" w:themeColor="text1"/>
                <w:kern w:val="0"/>
                <w:highlight w:val="none"/>
                <w:lang w:val="en-US" w:eastAsia="zh-CN"/>
                <w14:textFill>
                  <w14:solidFill>
                    <w14:schemeClr w14:val="tx1"/>
                  </w14:solidFill>
                </w14:textFill>
              </w:rPr>
              <w:t>表》</w:t>
            </w:r>
          </w:p>
          <w:p w14:paraId="48BC47F5">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 xml:space="preserve">征求意见 </w:t>
            </w:r>
          </w:p>
          <w:p w14:paraId="308C1779">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（以信函征求意见或网上公开征求意见两种形式为主）内部征求意见</w:t>
            </w:r>
          </w:p>
          <w:p w14:paraId="6A10C7A9">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 xml:space="preserve">——相关部门参与 </w:t>
            </w:r>
          </w:p>
          <w:p w14:paraId="3D98E574">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 xml:space="preserve">——行业其他单位参与 </w:t>
            </w:r>
          </w:p>
          <w:p w14:paraId="21ECC115">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——征求消费者、管理者、研究者的意见</w:t>
            </w:r>
          </w:p>
          <w:p w14:paraId="13E9E273">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该项标准完成内部征求意见后，在全国团体信息平台上公开征求意见。</w:t>
            </w:r>
          </w:p>
          <w:p w14:paraId="6ED85E79">
            <w:pPr>
              <w:pStyle w:val="8"/>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进行内部讨论、修改标准，形成团体标准送审稿</w:t>
            </w:r>
            <w:r>
              <w:rPr>
                <w:rFonts w:hint="eastAsia"/>
                <w:color w:val="000000" w:themeColor="text1"/>
                <w:kern w:val="0"/>
                <w:highlight w:val="none"/>
                <w:lang w:val="en-US" w:eastAsia="zh-CN"/>
                <w14:textFill>
                  <w14:solidFill>
                    <w14:schemeClr w14:val="tx1"/>
                  </w14:solidFill>
                </w14:textFill>
              </w:rPr>
              <w:t>。</w:t>
            </w:r>
          </w:p>
          <w:p w14:paraId="07CB3CE7">
            <w:pPr>
              <w:pStyle w:val="8"/>
              <w:numPr>
                <w:ilvl w:val="0"/>
                <w:numId w:val="2"/>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技术审查</w:t>
            </w:r>
          </w:p>
          <w:p w14:paraId="7C9C71CF">
            <w:pPr>
              <w:pStyle w:val="8"/>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将标准送审稿、送审稿编制说明、征求意见汇总处理表报请协会，由协会组织专家对团标进行技术审查。团标起草人不参加技术审查</w:t>
            </w:r>
            <w:r>
              <w:rPr>
                <w:rFonts w:hint="eastAsia"/>
                <w:color w:val="000000" w:themeColor="text1"/>
                <w:kern w:val="0"/>
                <w:highlight w:val="none"/>
                <w:lang w:val="en-US" w:eastAsia="zh-CN"/>
                <w14:textFill>
                  <w14:solidFill>
                    <w14:schemeClr w14:val="tx1"/>
                  </w14:solidFill>
                </w14:textFill>
              </w:rPr>
              <w:t>。</w:t>
            </w:r>
          </w:p>
          <w:p w14:paraId="1F77EE10">
            <w:pPr>
              <w:pStyle w:val="8"/>
              <w:numPr>
                <w:ilvl w:val="0"/>
                <w:numId w:val="3"/>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将标准送审稿、送审稿编制说明、征求意见汇总处理表报请协会，由协会组织专家对团标进行技术审查。</w:t>
            </w:r>
          </w:p>
          <w:p w14:paraId="2BFFFBB1">
            <w:pPr>
              <w:pStyle w:val="8"/>
              <w:numPr>
                <w:ilvl w:val="0"/>
                <w:numId w:val="3"/>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会议前将标协团标送审稿、编制说明、征求意见汇总处理表及有关附件等提交参加标协团标审查会议专家。审查会议应形成会议纪要。</w:t>
            </w:r>
          </w:p>
          <w:p w14:paraId="653A5055">
            <w:pPr>
              <w:pStyle w:val="8"/>
              <w:numPr>
                <w:ilvl w:val="0"/>
                <w:numId w:val="3"/>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根据技术审查会专家意见，修改团标，形成报批稿。</w:t>
            </w:r>
          </w:p>
          <w:p w14:paraId="7279D248">
            <w:pPr>
              <w:pStyle w:val="8"/>
              <w:numPr>
                <w:ilvl w:val="0"/>
                <w:numId w:val="2"/>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团标发布</w:t>
            </w:r>
          </w:p>
          <w:p w14:paraId="6E942BFB">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编写组依据审查结论，形成团体标准报批稿，并将报批稿纸质材料报送协会标委秘书处，团标秘书处对标准审核通过后，发放标准编号，签署发布公告，并在全国团体标准信息平台上公开发布。</w:t>
            </w:r>
          </w:p>
          <w:p w14:paraId="7E9561E5">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报送材料包括：</w:t>
            </w:r>
          </w:p>
          <w:p w14:paraId="1C733836">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——团体标准报批单</w:t>
            </w:r>
          </w:p>
          <w:p w14:paraId="1B63F95D">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——团体标准报批稿</w:t>
            </w:r>
          </w:p>
          <w:p w14:paraId="407E275D">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——团体标准编制说明</w:t>
            </w:r>
          </w:p>
          <w:p w14:paraId="56AA4A17">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——征求意见汇总处理表</w:t>
            </w:r>
          </w:p>
          <w:p w14:paraId="7BB36AA4">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——团体标准审查会议纪要或函审结论表</w:t>
            </w:r>
          </w:p>
          <w:p w14:paraId="0DE22918">
            <w:pPr>
              <w:pStyle w:val="8"/>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——合规检查表等。</w:t>
            </w:r>
          </w:p>
          <w:p w14:paraId="7F455F48">
            <w:pPr>
              <w:pStyle w:val="8"/>
              <w:numPr>
                <w:ilvl w:val="0"/>
                <w:numId w:val="2"/>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标准出版</w:t>
            </w:r>
          </w:p>
          <w:p w14:paraId="45010762">
            <w:pPr>
              <w:pStyle w:val="8"/>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团体标准通过正式出版的形式向社会公布</w:t>
            </w:r>
            <w:r>
              <w:rPr>
                <w:rFonts w:hint="eastAsia"/>
                <w:color w:val="000000" w:themeColor="text1"/>
                <w:kern w:val="0"/>
                <w:highlight w:val="none"/>
                <w:lang w:val="en-US" w:eastAsia="zh-CN"/>
                <w14:textFill>
                  <w14:solidFill>
                    <w14:schemeClr w14:val="tx1"/>
                  </w14:solidFill>
                </w14:textFill>
              </w:rPr>
              <w:t>。</w:t>
            </w:r>
          </w:p>
          <w:p w14:paraId="2B5639FD">
            <w:pPr>
              <w:pStyle w:val="8"/>
              <w:numPr>
                <w:ilvl w:val="0"/>
                <w:numId w:val="4"/>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经专家审查后，由社会团体批准发布，并在全国团体标准信息平台公示，同时向标准化管理部门备案</w:t>
            </w:r>
            <w:r>
              <w:rPr>
                <w:rFonts w:hint="eastAsia"/>
                <w:color w:val="000000" w:themeColor="text1"/>
                <w:kern w:val="0"/>
                <w:highlight w:val="none"/>
                <w:lang w:val="en-US" w:eastAsia="zh-CN"/>
                <w14:textFill>
                  <w14:solidFill>
                    <w14:schemeClr w14:val="tx1"/>
                  </w14:solidFill>
                </w14:textFill>
              </w:rPr>
              <w:t>；</w:t>
            </w:r>
          </w:p>
          <w:p w14:paraId="0F96C8D6">
            <w:pPr>
              <w:pStyle w:val="8"/>
              <w:numPr>
                <w:ilvl w:val="0"/>
                <w:numId w:val="4"/>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由国务院出版行政部门批准的单位（如中国标准出版社）出版，确保印刷质量和版权合规</w:t>
            </w:r>
            <w:r>
              <w:rPr>
                <w:rFonts w:hint="eastAsia"/>
                <w:color w:val="000000" w:themeColor="text1"/>
                <w:kern w:val="0"/>
                <w:highlight w:val="none"/>
                <w:lang w:val="en-US" w:eastAsia="zh-CN"/>
                <w14:textFill>
                  <w14:solidFill>
                    <w14:schemeClr w14:val="tx1"/>
                  </w14:solidFill>
                </w14:textFill>
              </w:rPr>
              <w:t>。</w:t>
            </w:r>
          </w:p>
          <w:p w14:paraId="0E688C06">
            <w:pPr>
              <w:pStyle w:val="8"/>
              <w:numPr>
                <w:ilvl w:val="0"/>
                <w:numId w:val="2"/>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标准宣贯</w:t>
            </w:r>
          </w:p>
          <w:p w14:paraId="724158CF">
            <w:pPr>
              <w:pStyle w:val="8"/>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推广和实施制定的标准，确保相关组织能够理解、接受并有效执行该标准</w:t>
            </w:r>
            <w:r>
              <w:rPr>
                <w:rFonts w:hint="eastAsia"/>
                <w:color w:val="000000" w:themeColor="text1"/>
                <w:kern w:val="0"/>
                <w:highlight w:val="none"/>
                <w:lang w:val="en-US" w:eastAsia="zh-CN"/>
                <w14:textFill>
                  <w14:solidFill>
                    <w14:schemeClr w14:val="tx1"/>
                  </w14:solidFill>
                </w14:textFill>
              </w:rPr>
              <w:t>。</w:t>
            </w:r>
          </w:p>
          <w:p w14:paraId="78773FEA">
            <w:pPr>
              <w:pStyle w:val="8"/>
              <w:numPr>
                <w:ilvl w:val="0"/>
                <w:numId w:val="5"/>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组织专家通过培训、会议等形式，开展团体标准宣传讲座向相关单位宣贯团体标准的内容和要求，邀请相关单位代表发言，分享经验和感受</w:t>
            </w:r>
            <w:r>
              <w:rPr>
                <w:rFonts w:hint="eastAsia"/>
                <w:color w:val="000000" w:themeColor="text1"/>
                <w:kern w:val="0"/>
                <w:highlight w:val="none"/>
                <w:lang w:val="en-US" w:eastAsia="zh-CN"/>
                <w14:textFill>
                  <w14:solidFill>
                    <w14:schemeClr w14:val="tx1"/>
                  </w14:solidFill>
                </w14:textFill>
              </w:rPr>
              <w:t>；</w:t>
            </w:r>
          </w:p>
          <w:p w14:paraId="3F561F0D">
            <w:pPr>
              <w:pStyle w:val="8"/>
              <w:numPr>
                <w:ilvl w:val="0"/>
                <w:numId w:val="5"/>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在官网、社交媒体等平台上发布标准相关的信息，保持信息更新</w:t>
            </w:r>
            <w:r>
              <w:rPr>
                <w:rFonts w:hint="eastAsia"/>
                <w:color w:val="000000" w:themeColor="text1"/>
                <w:kern w:val="0"/>
                <w:highlight w:val="none"/>
                <w:lang w:val="en-US" w:eastAsia="zh-CN"/>
                <w14:textFill>
                  <w14:solidFill>
                    <w14:schemeClr w14:val="tx1"/>
                  </w14:solidFill>
                </w14:textFill>
              </w:rPr>
              <w:t>。</w:t>
            </w:r>
          </w:p>
          <w:p w14:paraId="207F56BB">
            <w:pPr>
              <w:pStyle w:val="8"/>
              <w:numPr>
                <w:ilvl w:val="0"/>
                <w:numId w:val="0"/>
              </w:numPr>
              <w:spacing w:line="400" w:lineRule="exact"/>
              <w:ind w:firstLine="422" w:firstLineChars="200"/>
              <w:textAlignment w:val="baseline"/>
              <w:rPr>
                <w:rFonts w:hint="default" w:eastAsiaTheme="minorEastAsia"/>
                <w:b/>
                <w:bCs/>
                <w:color w:val="000000" w:themeColor="text1"/>
                <w:kern w:val="0"/>
                <w:highlight w:val="none"/>
                <w:lang w:val="en-US" w:eastAsia="zh-CN"/>
                <w14:textFill>
                  <w14:solidFill>
                    <w14:schemeClr w14:val="tx1"/>
                  </w14:solidFill>
                </w14:textFill>
              </w:rPr>
            </w:pPr>
            <w:r>
              <w:rPr>
                <w:rFonts w:hint="eastAsia"/>
                <w:b/>
                <w:bCs/>
                <w:color w:val="000000" w:themeColor="text1"/>
                <w:kern w:val="0"/>
                <w:highlight w:val="none"/>
                <w:lang w:val="en-US" w:eastAsia="zh-CN"/>
                <w14:textFill>
                  <w14:solidFill>
                    <w14:schemeClr w14:val="tx1"/>
                  </w14:solidFill>
                </w14:textFill>
              </w:rPr>
              <w:t>二、项目实施方案</w:t>
            </w:r>
          </w:p>
          <w:p w14:paraId="087C9275">
            <w:pPr>
              <w:pStyle w:val="8"/>
              <w:numPr>
                <w:ilvl w:val="0"/>
                <w:numId w:val="6"/>
              </w:numPr>
              <w:spacing w:line="400" w:lineRule="exact"/>
              <w:ind w:left="0" w:leftChars="0" w:firstLine="420" w:firstLineChars="0"/>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团体标准项目管理</w:t>
            </w:r>
          </w:p>
          <w:p w14:paraId="2B81585D">
            <w:pPr>
              <w:pStyle w:val="8"/>
              <w:numPr>
                <w:ilvl w:val="0"/>
                <w:numId w:val="0"/>
              </w:numPr>
              <w:spacing w:line="400" w:lineRule="exact"/>
              <w:ind w:firstLine="420" w:firstLineChars="20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根据有关法律、法规，区内、外政府信息公开管理规范调研的结果，结合我区政府信息公开工作的需求，开展</w:t>
            </w:r>
            <w:r>
              <w:rPr>
                <w:rFonts w:hint="eastAsia"/>
                <w:color w:val="000000" w:themeColor="text1"/>
                <w:kern w:val="0"/>
                <w:highlight w:val="none"/>
                <w:lang w:val="en-US" w:eastAsia="zh-CN"/>
                <w14:textFill>
                  <w14:solidFill>
                    <w14:schemeClr w14:val="tx1"/>
                  </w14:solidFill>
                </w14:textFill>
              </w:rPr>
              <w:t>团体</w:t>
            </w:r>
            <w:r>
              <w:rPr>
                <w:color w:val="000000" w:themeColor="text1"/>
                <w:kern w:val="0"/>
                <w:highlight w:val="none"/>
                <w14:textFill>
                  <w14:solidFill>
                    <w14:schemeClr w14:val="tx1"/>
                  </w14:solidFill>
                </w14:textFill>
              </w:rPr>
              <w:t>标准研制工作。</w:t>
            </w:r>
          </w:p>
          <w:p w14:paraId="0EB1C1B7">
            <w:pPr>
              <w:pStyle w:val="8"/>
              <w:numPr>
                <w:ilvl w:val="0"/>
                <w:numId w:val="7"/>
              </w:numPr>
              <w:spacing w:line="400" w:lineRule="exact"/>
              <w:ind w:left="845" w:leftChars="0" w:hanging="425" w:firstLineChars="0"/>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实施关键</w:t>
            </w:r>
          </w:p>
          <w:p w14:paraId="007B6396">
            <w:pPr>
              <w:pStyle w:val="8"/>
              <w:numPr>
                <w:ilvl w:val="0"/>
                <w:numId w:val="0"/>
              </w:numPr>
              <w:spacing w:line="400" w:lineRule="exact"/>
              <w:ind w:leftChars="0"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一是明确项目的成功实施是双方的共同利益和责任。明确实施过程本质上也是知识和技术的传递过程，故而实施过程将采取双方协同合作的方式；二是建立明确的阶段目标和业务处理需求。严格控制项目范围；三是建立层次结构合理、功能齐全、职责明确的项目组织结构；四是精选合适的双方成员，在项目小组内分配合理恰当的职责。按照各自的职责及时解决实施过程中出现的问题。及时审阅和响应对方提交的文件。定期检查项目进度与阶段目标及阶段成果。</w:t>
            </w:r>
          </w:p>
          <w:p w14:paraId="59A13BD5">
            <w:pPr>
              <w:pStyle w:val="8"/>
              <w:numPr>
                <w:ilvl w:val="0"/>
                <w:numId w:val="7"/>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工作计划管理</w:t>
            </w:r>
          </w:p>
          <w:p w14:paraId="01025C6E">
            <w:pPr>
              <w:pStyle w:val="8"/>
              <w:numPr>
                <w:ilvl w:val="0"/>
                <w:numId w:val="0"/>
              </w:numPr>
              <w:spacing w:line="400" w:lineRule="exact"/>
              <w:ind w:leftChars="0"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根据项目进度的要求，制定详细且切实可行的工作计划，明确每个成员的具体任务，并定期检查任务完成情况和质量，确保项目顺利实施的关键所在。工作计划管理应包括编制工作计划，并经双方批准；进行工作小结，说明未完成原因及改进计划；工作量统计，质量检查等，由双方签字确认。</w:t>
            </w:r>
          </w:p>
          <w:p w14:paraId="3E6EA9BA">
            <w:pPr>
              <w:pStyle w:val="8"/>
              <w:numPr>
                <w:ilvl w:val="0"/>
                <w:numId w:val="7"/>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项目范围控制</w:t>
            </w:r>
          </w:p>
          <w:p w14:paraId="288A9D8D">
            <w:pPr>
              <w:pStyle w:val="8"/>
              <w:numPr>
                <w:ilvl w:val="0"/>
                <w:numId w:val="0"/>
              </w:numPr>
              <w:spacing w:line="400" w:lineRule="exact"/>
              <w:ind w:leftChars="0"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保持项目研究内容的前后一贯性是非常重要的。如果出现需要改变原定研究内容的需求，都应以正式文档方式提出。项目小组成员必须谨慎考虑项目研究内容的改变将对整个项目进程可能产生的影响，必须在批准后才能进行。</w:t>
            </w:r>
          </w:p>
          <w:p w14:paraId="7C8F7EBC">
            <w:pPr>
              <w:pStyle w:val="8"/>
              <w:numPr>
                <w:ilvl w:val="0"/>
                <w:numId w:val="7"/>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项目组织</w:t>
            </w:r>
          </w:p>
          <w:p w14:paraId="1E839E52">
            <w:pPr>
              <w:pStyle w:val="8"/>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中山大学附属第一医院广西医院团体标准项目的标准编制工作，</w:t>
            </w:r>
            <w:r>
              <w:rPr>
                <w:rFonts w:hint="eastAsia"/>
                <w:color w:val="000000" w:themeColor="text1"/>
                <w:kern w:val="0"/>
                <w:highlight w:val="none"/>
                <w14:textFill>
                  <w14:solidFill>
                    <w14:schemeClr w14:val="tx1"/>
                  </w14:solidFill>
                </w14:textFill>
              </w:rPr>
              <w:t>需要建设方和承建方高层领导参与，并派遣充足的专业化队伍进行具体研究制定。</w:t>
            </w:r>
          </w:p>
          <w:p w14:paraId="04E23FF3">
            <w:pPr>
              <w:pStyle w:val="8"/>
              <w:numPr>
                <w:ilvl w:val="0"/>
                <w:numId w:val="6"/>
              </w:numPr>
              <w:spacing w:line="400" w:lineRule="exact"/>
              <w:ind w:left="0" w:leftChars="0" w:firstLine="420" w:firstLineChars="0"/>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项目协调机制</w:t>
            </w:r>
          </w:p>
          <w:p w14:paraId="29FF8095">
            <w:pPr>
              <w:pStyle w:val="8"/>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要建立严谨规范的绩效管理体系，首先需要建立长效的沟通协调机制</w:t>
            </w:r>
            <w:r>
              <w:rPr>
                <w:rFonts w:hint="eastAsia"/>
                <w:color w:val="000000" w:themeColor="text1"/>
                <w:kern w:val="0"/>
                <w:highlight w:val="none"/>
                <w:lang w:eastAsia="zh-CN"/>
                <w14:textFill>
                  <w14:solidFill>
                    <w14:schemeClr w14:val="tx1"/>
                  </w14:solidFill>
                </w14:textFill>
              </w:rPr>
              <w:t>，</w:t>
            </w:r>
            <w:r>
              <w:rPr>
                <w:rFonts w:hint="eastAsia"/>
                <w:color w:val="000000" w:themeColor="text1"/>
                <w:kern w:val="0"/>
                <w:highlight w:val="none"/>
                <w14:textFill>
                  <w14:solidFill>
                    <w14:schemeClr w14:val="tx1"/>
                  </w14:solidFill>
                </w14:textFill>
              </w:rPr>
              <w:t>在保证质量的前提下能够如期交付。</w:t>
            </w:r>
          </w:p>
          <w:p w14:paraId="243F5C21">
            <w:pPr>
              <w:pStyle w:val="8"/>
              <w:numPr>
                <w:ilvl w:val="0"/>
                <w:numId w:val="8"/>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沟通</w:t>
            </w:r>
          </w:p>
          <w:p w14:paraId="6BE745B2">
            <w:pPr>
              <w:pStyle w:val="8"/>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项目确定会议作为项目沟通的正式形式:同时，为了提高沟通的效率，也将大量采用会议讨论、电子邮件和电话等沟通方式。</w:t>
            </w:r>
          </w:p>
          <w:p w14:paraId="341A02BC">
            <w:pPr>
              <w:pStyle w:val="8"/>
              <w:numPr>
                <w:ilvl w:val="0"/>
                <w:numId w:val="8"/>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问题解决</w:t>
            </w:r>
          </w:p>
          <w:p w14:paraId="67A43142">
            <w:pPr>
              <w:pStyle w:val="8"/>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项目内能解决的问题，由项目负责人做行动计划，在项目组内解决;项目组内无法解决的问题，上报部门，由部门协调资源解决。</w:t>
            </w:r>
          </w:p>
          <w:p w14:paraId="092C10C5">
            <w:pPr>
              <w:pStyle w:val="8"/>
              <w:numPr>
                <w:ilvl w:val="0"/>
                <w:numId w:val="6"/>
              </w:numPr>
              <w:spacing w:line="400" w:lineRule="exact"/>
              <w:ind w:left="0" w:leftChars="0" w:firstLine="420"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风险处理</w:t>
            </w:r>
          </w:p>
          <w:p w14:paraId="0700E870">
            <w:pPr>
              <w:pStyle w:val="8"/>
              <w:numPr>
                <w:ilvl w:val="0"/>
                <w:numId w:val="9"/>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周密工作计划</w:t>
            </w:r>
          </w:p>
          <w:p w14:paraId="3BFEC60B">
            <w:pPr>
              <w:pStyle w:val="8"/>
              <w:spacing w:line="400" w:lineRule="exact"/>
              <w:textAlignment w:val="baseline"/>
              <w:rPr>
                <w:rFonts w:hint="eastAsia" w:eastAsiaTheme="minorEastAsia"/>
                <w:color w:val="000000" w:themeColor="text1"/>
                <w:kern w:val="0"/>
                <w:highlight w:val="none"/>
                <w:lang w:eastAsia="zh-CN"/>
                <w14:textFill>
                  <w14:solidFill>
                    <w14:schemeClr w14:val="tx1"/>
                  </w14:solidFill>
                </w14:textFill>
              </w:rPr>
            </w:pPr>
            <w:r>
              <w:rPr>
                <w:rFonts w:hint="eastAsia"/>
                <w:color w:val="000000" w:themeColor="text1"/>
                <w:kern w:val="0"/>
                <w:highlight w:val="none"/>
                <w14:textFill>
                  <w14:solidFill>
                    <w14:schemeClr w14:val="tx1"/>
                  </w14:solidFill>
                </w14:textFill>
              </w:rPr>
              <w:t>基于明确的成果导向，全面预估项目实施途中可能遭遇的挑战与障碍，精心规划项目进度，确保涵盖所有达成目标所必需的工作环节</w:t>
            </w:r>
            <w:r>
              <w:rPr>
                <w:rFonts w:hint="eastAsia"/>
                <w:color w:val="000000" w:themeColor="text1"/>
                <w:kern w:val="0"/>
                <w:highlight w:val="none"/>
                <w:lang w:eastAsia="zh-CN"/>
                <w14:textFill>
                  <w14:solidFill>
                    <w14:schemeClr w14:val="tx1"/>
                  </w14:solidFill>
                </w14:textFill>
              </w:rPr>
              <w:t>。</w:t>
            </w:r>
          </w:p>
          <w:p w14:paraId="51616D69">
            <w:pPr>
              <w:pStyle w:val="8"/>
              <w:numPr>
                <w:ilvl w:val="0"/>
                <w:numId w:val="9"/>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合理资源配置</w:t>
            </w:r>
          </w:p>
          <w:p w14:paraId="07392124">
            <w:pPr>
              <w:pStyle w:val="8"/>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资源配置包括硬件条件(场地、设备)和软件条件(信息源、资料库、知识库等)。资源配置要结合工作计划协调完成，尤其是软件条件的配置，信息源要体现在工作计划(例如调研计划)中，资料和行业知识的准备，在项目现场工作开始之前就已经启动。</w:t>
            </w:r>
          </w:p>
          <w:p w14:paraId="5CC04D3D">
            <w:pPr>
              <w:pStyle w:val="8"/>
              <w:numPr>
                <w:ilvl w:val="0"/>
                <w:numId w:val="9"/>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合理人员配置</w:t>
            </w:r>
          </w:p>
          <w:p w14:paraId="41370196">
            <w:pPr>
              <w:pStyle w:val="8"/>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人员配置上，需从两方面着手:既要依据项目目标和工作计划，合理配置足够的人员力量，确保工作进度有条不紊地推进;又要确保每位人员的能力与项目需求相匹配。</w:t>
            </w:r>
          </w:p>
          <w:p w14:paraId="215FEB47">
            <w:pPr>
              <w:pStyle w:val="8"/>
              <w:numPr>
                <w:ilvl w:val="0"/>
                <w:numId w:val="9"/>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有效工作规则</w:t>
            </w:r>
          </w:p>
          <w:p w14:paraId="373BA240">
            <w:pPr>
              <w:pStyle w:val="8"/>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项目组织的工作规则旨在确保项目目标和工作计划得以有效落实。一个严密有效的工作机制，要求对项目计划的实施分阶段进行细致的论证、评估与确认，明确各阶段的工作重点、难点及预期成效，并留下完整的工作记录。同时，还需提前预判并预防潜在风险，从而实现对项目风险的有效管控。</w:t>
            </w:r>
          </w:p>
          <w:p w14:paraId="3D212945">
            <w:pPr>
              <w:pStyle w:val="8"/>
              <w:spacing w:line="400" w:lineRule="exact"/>
              <w:ind w:firstLine="422"/>
              <w:textAlignment w:val="baseline"/>
              <w:rPr>
                <w:b/>
                <w:bCs/>
                <w:color w:val="000000" w:themeColor="text1"/>
                <w:kern w:val="0"/>
                <w:highlight w:val="none"/>
                <w14:textFill>
                  <w14:solidFill>
                    <w14:schemeClr w14:val="tx1"/>
                  </w14:solidFill>
                </w14:textFill>
              </w:rPr>
            </w:pPr>
            <w:r>
              <w:rPr>
                <w:rFonts w:hint="eastAsia"/>
                <w:b/>
                <w:bCs/>
                <w:color w:val="000000" w:themeColor="text1"/>
                <w:kern w:val="0"/>
                <w:highlight w:val="none"/>
                <w:lang w:val="en-US" w:eastAsia="zh-CN"/>
                <w14:textFill>
                  <w14:solidFill>
                    <w14:schemeClr w14:val="tx1"/>
                  </w14:solidFill>
                </w14:textFill>
              </w:rPr>
              <w:t>三</w:t>
            </w:r>
            <w:r>
              <w:rPr>
                <w:b/>
                <w:bCs/>
                <w:color w:val="000000" w:themeColor="text1"/>
                <w:kern w:val="0"/>
                <w:highlight w:val="none"/>
                <w14:textFill>
                  <w14:solidFill>
                    <w14:schemeClr w14:val="tx1"/>
                  </w14:solidFill>
                </w14:textFill>
              </w:rPr>
              <w:t>、研究成果</w:t>
            </w:r>
          </w:p>
          <w:p w14:paraId="0C94BCDF">
            <w:pPr>
              <w:pStyle w:val="8"/>
              <w:spacing w:line="400" w:lineRule="exact"/>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（一）</w:t>
            </w:r>
            <w:r>
              <w:rPr>
                <w:rFonts w:hint="eastAsia"/>
                <w:color w:val="000000" w:themeColor="text1"/>
                <w:kern w:val="0"/>
                <w:highlight w:val="none"/>
                <w:lang w:val="en-US" w:eastAsia="zh-CN"/>
                <w14:textFill>
                  <w14:solidFill>
                    <w14:schemeClr w14:val="tx1"/>
                  </w14:solidFill>
                </w14:textFill>
              </w:rPr>
              <w:t>团体</w:t>
            </w:r>
            <w:r>
              <w:rPr>
                <w:rFonts w:hint="eastAsia"/>
                <w:color w:val="000000" w:themeColor="text1"/>
                <w:kern w:val="0"/>
                <w:highlight w:val="none"/>
                <w14:textFill>
                  <w14:solidFill>
                    <w14:schemeClr w14:val="tx1"/>
                  </w14:solidFill>
                </w14:textFill>
              </w:rPr>
              <w:t>标准项目</w:t>
            </w:r>
            <w:r>
              <w:rPr>
                <w:color w:val="000000" w:themeColor="text1"/>
                <w:kern w:val="0"/>
                <w:highlight w:val="none"/>
                <w14:textFill>
                  <w14:solidFill>
                    <w14:schemeClr w14:val="tx1"/>
                  </w14:solidFill>
                </w14:textFill>
              </w:rPr>
              <w:t>标准版本。</w:t>
            </w:r>
          </w:p>
          <w:p w14:paraId="26F5E264">
            <w:pPr>
              <w:pStyle w:val="8"/>
              <w:spacing w:line="400" w:lineRule="exact"/>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（二）</w:t>
            </w:r>
            <w:r>
              <w:rPr>
                <w:rFonts w:hint="eastAsia"/>
                <w:color w:val="000000" w:themeColor="text1"/>
                <w:kern w:val="0"/>
                <w:highlight w:val="none"/>
                <w:lang w:val="en-US" w:eastAsia="zh-CN"/>
                <w14:textFill>
                  <w14:solidFill>
                    <w14:schemeClr w14:val="tx1"/>
                  </w14:solidFill>
                </w14:textFill>
              </w:rPr>
              <w:t>团体</w:t>
            </w:r>
            <w:r>
              <w:rPr>
                <w:rFonts w:hint="eastAsia"/>
                <w:color w:val="000000" w:themeColor="text1"/>
                <w:kern w:val="0"/>
                <w:highlight w:val="none"/>
                <w14:textFill>
                  <w14:solidFill>
                    <w14:schemeClr w14:val="tx1"/>
                  </w14:solidFill>
                </w14:textFill>
              </w:rPr>
              <w:t>标准项目</w:t>
            </w:r>
            <w:r>
              <w:rPr>
                <w:color w:val="000000" w:themeColor="text1"/>
                <w:kern w:val="0"/>
                <w:highlight w:val="none"/>
                <w14:textFill>
                  <w14:solidFill>
                    <w14:schemeClr w14:val="tx1"/>
                  </w14:solidFill>
                </w14:textFill>
              </w:rPr>
              <w:t>最终送审稿。</w:t>
            </w:r>
          </w:p>
          <w:p w14:paraId="1FD6DE82">
            <w:pPr>
              <w:pStyle w:val="8"/>
              <w:spacing w:line="400" w:lineRule="exact"/>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（三）</w:t>
            </w:r>
            <w:r>
              <w:rPr>
                <w:rFonts w:hint="eastAsia"/>
                <w:color w:val="000000" w:themeColor="text1"/>
                <w:kern w:val="0"/>
                <w:highlight w:val="none"/>
                <w:lang w:val="en-US" w:eastAsia="zh-CN"/>
                <w14:textFill>
                  <w14:solidFill>
                    <w14:schemeClr w14:val="tx1"/>
                  </w14:solidFill>
                </w14:textFill>
              </w:rPr>
              <w:t>团体</w:t>
            </w:r>
            <w:r>
              <w:rPr>
                <w:rFonts w:hint="eastAsia"/>
                <w:color w:val="000000" w:themeColor="text1"/>
                <w:kern w:val="0"/>
                <w:highlight w:val="none"/>
                <w14:textFill>
                  <w14:solidFill>
                    <w14:schemeClr w14:val="tx1"/>
                  </w14:solidFill>
                </w14:textFill>
              </w:rPr>
              <w:t>标准项目</w:t>
            </w:r>
            <w:r>
              <w:rPr>
                <w:color w:val="000000" w:themeColor="text1"/>
                <w:kern w:val="0"/>
                <w:highlight w:val="none"/>
                <w14:textFill>
                  <w14:solidFill>
                    <w14:schemeClr w14:val="tx1"/>
                  </w14:solidFill>
                </w14:textFill>
              </w:rPr>
              <w:t>汇报PPT。</w:t>
            </w:r>
          </w:p>
          <w:p w14:paraId="2BF0CF96">
            <w:pPr>
              <w:pStyle w:val="8"/>
              <w:spacing w:line="400" w:lineRule="exact"/>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（四）</w:t>
            </w:r>
            <w:r>
              <w:rPr>
                <w:color w:val="000000" w:themeColor="text1"/>
                <w:kern w:val="0"/>
                <w:highlight w:val="none"/>
                <w14:textFill>
                  <w14:solidFill>
                    <w14:schemeClr w14:val="tx1"/>
                  </w14:solidFill>
                </w14:textFill>
              </w:rPr>
              <w:t>项目研究过程中所有原始数据的汇总表</w:t>
            </w:r>
            <w:r>
              <w:rPr>
                <w:rFonts w:hint="eastAsia"/>
                <w:color w:val="000000" w:themeColor="text1"/>
                <w:kern w:val="0"/>
                <w:highlight w:val="none"/>
                <w:lang w:val="en-US" w:eastAsia="zh-CN"/>
                <w14:textFill>
                  <w14:solidFill>
                    <w14:schemeClr w14:val="tx1"/>
                  </w14:solidFill>
                </w14:textFill>
              </w:rPr>
              <w:t>等相关材料</w:t>
            </w:r>
            <w:r>
              <w:rPr>
                <w:color w:val="000000" w:themeColor="text1"/>
                <w:kern w:val="0"/>
                <w:highlight w:val="none"/>
                <w14:textFill>
                  <w14:solidFill>
                    <w14:schemeClr w14:val="tx1"/>
                  </w14:solidFill>
                </w14:textFill>
              </w:rPr>
              <w:t>。</w:t>
            </w:r>
          </w:p>
          <w:p w14:paraId="21147F2C">
            <w:pPr>
              <w:pStyle w:val="8"/>
              <w:spacing w:line="400" w:lineRule="exact"/>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以上成果须同时提供电子版和纸质版。</w:t>
            </w:r>
          </w:p>
        </w:tc>
      </w:tr>
      <w:tr w14:paraId="02EB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9BC515B">
            <w:pPr>
              <w:spacing w:line="360" w:lineRule="exact"/>
              <w:rPr>
                <w:color w:val="000000" w:themeColor="text1"/>
                <w:szCs w:val="21"/>
                <w:highlight w:val="none"/>
                <w14:textFill>
                  <w14:solidFill>
                    <w14:schemeClr w14:val="tx1"/>
                  </w14:solidFill>
                </w14:textFill>
              </w:rPr>
            </w:pPr>
            <w:r>
              <w:rPr>
                <w:b/>
                <w:color w:val="000000" w:themeColor="text1"/>
                <w:highlight w:val="none"/>
                <w14:textFill>
                  <w14:solidFill>
                    <w14:schemeClr w14:val="tx1"/>
                  </w14:solidFill>
                </w14:textFill>
              </w:rPr>
              <w:t>（二）商务要求</w:t>
            </w:r>
          </w:p>
        </w:tc>
      </w:tr>
      <w:tr w14:paraId="2CB1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pct"/>
            <w:gridSpan w:val="2"/>
            <w:tcBorders>
              <w:top w:val="single" w:color="auto" w:sz="4" w:space="0"/>
              <w:left w:val="single" w:color="auto" w:sz="4" w:space="0"/>
              <w:bottom w:val="single" w:color="auto" w:sz="4" w:space="0"/>
              <w:right w:val="single" w:color="auto" w:sz="4" w:space="0"/>
            </w:tcBorders>
            <w:vAlign w:val="center"/>
          </w:tcPr>
          <w:p w14:paraId="09012969">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szCs w:val="24"/>
                <w:highlight w:val="none"/>
                <w14:textFill>
                  <w14:solidFill>
                    <w14:schemeClr w14:val="tx1"/>
                  </w14:solidFill>
                </w14:textFill>
              </w:rPr>
              <w:t>▲</w:t>
            </w:r>
            <w:r>
              <w:rPr>
                <w:color w:val="000000" w:themeColor="text1"/>
                <w:kern w:val="0"/>
                <w:highlight w:val="none"/>
                <w14:textFill>
                  <w14:solidFill>
                    <w14:schemeClr w14:val="tx1"/>
                  </w14:solidFill>
                </w14:textFill>
              </w:rPr>
              <w:t>报价要求</w:t>
            </w:r>
          </w:p>
        </w:tc>
        <w:tc>
          <w:tcPr>
            <w:tcW w:w="4317" w:type="pct"/>
            <w:gridSpan w:val="4"/>
            <w:tcBorders>
              <w:top w:val="single" w:color="auto" w:sz="4" w:space="0"/>
              <w:left w:val="single" w:color="auto" w:sz="4" w:space="0"/>
              <w:bottom w:val="single" w:color="auto" w:sz="4" w:space="0"/>
              <w:right w:val="single" w:color="auto" w:sz="4" w:space="0"/>
            </w:tcBorders>
            <w:vAlign w:val="center"/>
          </w:tcPr>
          <w:p w14:paraId="60D9FF3C">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本报价为完成采购人指定内容的整体包干价，包括：</w:t>
            </w:r>
          </w:p>
          <w:p w14:paraId="2043919F">
            <w:pPr>
              <w:pStyle w:val="8"/>
              <w:numPr>
                <w:ilvl w:val="0"/>
                <w:numId w:val="10"/>
              </w:numPr>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完成本项目服务内容所需的人工成本、现场调研、基础资料收集、验收、专家评审等相关费用；</w:t>
            </w:r>
          </w:p>
          <w:p w14:paraId="6B3D8935">
            <w:pPr>
              <w:pStyle w:val="8"/>
              <w:numPr>
                <w:ilvl w:val="0"/>
                <w:numId w:val="10"/>
              </w:numPr>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材料费：包含汇报材料及成果打印费用；</w:t>
            </w:r>
          </w:p>
          <w:p w14:paraId="5C2F37BB">
            <w:pPr>
              <w:pStyle w:val="8"/>
              <w:numPr>
                <w:ilvl w:val="0"/>
                <w:numId w:val="10"/>
              </w:numPr>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保险费和各项税金。</w:t>
            </w:r>
          </w:p>
          <w:p w14:paraId="0385700E">
            <w:pPr>
              <w:pStyle w:val="8"/>
              <w:spacing w:line="400" w:lineRule="exact"/>
              <w:ind w:firstLine="0" w:firstLineChars="0"/>
              <w:textAlignment w:val="baseline"/>
              <w:rPr>
                <w:b/>
                <w:bCs/>
                <w:color w:val="000000" w:themeColor="text1"/>
                <w:kern w:val="0"/>
                <w:highlight w:val="none"/>
                <w14:textFill>
                  <w14:solidFill>
                    <w14:schemeClr w14:val="tx1"/>
                  </w14:solidFill>
                </w14:textFill>
              </w:rPr>
            </w:pPr>
            <w:r>
              <w:rPr>
                <w:b/>
                <w:bCs/>
                <w:color w:val="000000" w:themeColor="text1"/>
                <w:kern w:val="0"/>
                <w:highlight w:val="none"/>
                <w14:textFill>
                  <w14:solidFill>
                    <w14:schemeClr w14:val="tx1"/>
                  </w14:solidFill>
                </w14:textFill>
              </w:rPr>
              <w:t>注：</w:t>
            </w:r>
          </w:p>
          <w:p w14:paraId="7421DCBA">
            <w:pPr>
              <w:pStyle w:val="8"/>
              <w:spacing w:line="400" w:lineRule="exact"/>
              <w:ind w:firstLine="0" w:firstLineChars="0"/>
              <w:textAlignment w:val="baseline"/>
              <w:rPr>
                <w:b/>
                <w:bCs/>
                <w:color w:val="000000" w:themeColor="text1"/>
                <w:kern w:val="0"/>
                <w:highlight w:val="none"/>
                <w14:textFill>
                  <w14:solidFill>
                    <w14:schemeClr w14:val="tx1"/>
                  </w14:solidFill>
                </w14:textFill>
              </w:rPr>
            </w:pPr>
            <w:r>
              <w:rPr>
                <w:b/>
                <w:bCs/>
                <w:color w:val="000000" w:themeColor="text1"/>
                <w:kern w:val="0"/>
                <w:highlight w:val="none"/>
                <w14:textFill>
                  <w14:solidFill>
                    <w14:schemeClr w14:val="tx1"/>
                  </w14:solidFill>
                </w14:textFill>
              </w:rPr>
              <w:t>1、本项目为整体服务包干项目，报价中应包含所有服务内容，成交后采购人服务期内不再另行支付额外费用。</w:t>
            </w:r>
          </w:p>
          <w:p w14:paraId="4E24674E">
            <w:pPr>
              <w:pStyle w:val="8"/>
              <w:spacing w:line="400" w:lineRule="exact"/>
              <w:ind w:firstLine="0" w:firstLineChars="0"/>
              <w:textAlignment w:val="baseline"/>
              <w:rPr>
                <w:color w:val="000000" w:themeColor="text1"/>
                <w:kern w:val="0"/>
                <w:highlight w:val="none"/>
                <w14:textFill>
                  <w14:solidFill>
                    <w14:schemeClr w14:val="tx1"/>
                  </w14:solidFill>
                </w14:textFill>
              </w:rPr>
            </w:pPr>
            <w:r>
              <w:rPr>
                <w:b/>
                <w:bCs/>
                <w:color w:val="000000" w:themeColor="text1"/>
                <w:kern w:val="0"/>
                <w:highlight w:val="none"/>
                <w14:textFill>
                  <w14:solidFill>
                    <w14:schemeClr w14:val="tx1"/>
                  </w14:solidFill>
                </w14:textFill>
              </w:rPr>
              <w:t>2、供应商的报价≤</w:t>
            </w:r>
            <w:r>
              <w:rPr>
                <w:rFonts w:hint="eastAsia"/>
                <w:b/>
                <w:bCs/>
                <w:color w:val="000000" w:themeColor="text1"/>
                <w:kern w:val="0"/>
                <w:highlight w:val="none"/>
                <w:lang w:val="en-US" w:eastAsia="zh-CN"/>
                <w14:textFill>
                  <w14:solidFill>
                    <w14:schemeClr w14:val="tx1"/>
                  </w14:solidFill>
                </w14:textFill>
              </w:rPr>
              <w:t>控制价</w:t>
            </w:r>
            <w:r>
              <w:rPr>
                <w:b/>
                <w:bCs/>
                <w:color w:val="000000" w:themeColor="text1"/>
                <w:kern w:val="0"/>
                <w:highlight w:val="none"/>
                <w14:textFill>
                  <w14:solidFill>
                    <w14:schemeClr w14:val="tx1"/>
                  </w14:solidFill>
                </w14:textFill>
              </w:rPr>
              <w:t>（人民币</w:t>
            </w:r>
            <w:r>
              <w:rPr>
                <w:rFonts w:hint="eastAsia"/>
                <w:b/>
                <w:bCs/>
                <w:color w:val="000000" w:themeColor="text1"/>
                <w:kern w:val="0"/>
                <w:highlight w:val="none"/>
                <w:lang w:val="en-US" w:eastAsia="zh-CN"/>
                <w14:textFill>
                  <w14:solidFill>
                    <w14:schemeClr w14:val="tx1"/>
                  </w14:solidFill>
                </w14:textFill>
              </w:rPr>
              <w:t>9</w:t>
            </w:r>
            <w:r>
              <w:rPr>
                <w:b/>
                <w:bCs/>
                <w:color w:val="000000" w:themeColor="text1"/>
                <w:kern w:val="0"/>
                <w:highlight w:val="none"/>
                <w14:textFill>
                  <w14:solidFill>
                    <w14:schemeClr w14:val="tx1"/>
                  </w14:solidFill>
                </w14:textFill>
              </w:rPr>
              <w:t>万元）。</w:t>
            </w:r>
          </w:p>
        </w:tc>
      </w:tr>
      <w:tr w14:paraId="1CB5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pct"/>
            <w:gridSpan w:val="2"/>
            <w:tcBorders>
              <w:top w:val="single" w:color="auto" w:sz="4" w:space="0"/>
              <w:left w:val="single" w:color="auto" w:sz="4" w:space="0"/>
              <w:bottom w:val="single" w:color="auto" w:sz="4" w:space="0"/>
              <w:right w:val="single" w:color="auto" w:sz="4" w:space="0"/>
            </w:tcBorders>
            <w:vAlign w:val="center"/>
          </w:tcPr>
          <w:p w14:paraId="37067FD4">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szCs w:val="24"/>
                <w:highlight w:val="none"/>
                <w14:textFill>
                  <w14:solidFill>
                    <w14:schemeClr w14:val="tx1"/>
                  </w14:solidFill>
                </w14:textFill>
              </w:rPr>
              <w:t>▲</w:t>
            </w:r>
            <w:r>
              <w:rPr>
                <w:color w:val="000000" w:themeColor="text1"/>
                <w:kern w:val="0"/>
                <w:highlight w:val="none"/>
                <w14:textFill>
                  <w14:solidFill>
                    <w14:schemeClr w14:val="tx1"/>
                  </w14:solidFill>
                </w14:textFill>
              </w:rPr>
              <w:t>提交服务成果时间及地点</w:t>
            </w:r>
          </w:p>
        </w:tc>
        <w:tc>
          <w:tcPr>
            <w:tcW w:w="4317" w:type="pct"/>
            <w:gridSpan w:val="4"/>
            <w:tcBorders>
              <w:top w:val="single" w:color="auto" w:sz="4" w:space="0"/>
              <w:left w:val="single" w:color="auto" w:sz="4" w:space="0"/>
              <w:bottom w:val="single" w:color="auto" w:sz="4" w:space="0"/>
              <w:right w:val="single" w:color="auto" w:sz="4" w:space="0"/>
            </w:tcBorders>
            <w:vAlign w:val="center"/>
          </w:tcPr>
          <w:p w14:paraId="02DAD20F">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（一）服务期限：</w:t>
            </w:r>
            <w:r>
              <w:rPr>
                <w:rFonts w:hint="eastAsia"/>
                <w:color w:val="000000" w:themeColor="text1"/>
                <w:kern w:val="0"/>
                <w:highlight w:val="none"/>
                <w14:textFill>
                  <w14:solidFill>
                    <w14:schemeClr w14:val="tx1"/>
                  </w14:solidFill>
                </w14:textFill>
              </w:rPr>
              <w:t>具体以合同为准</w:t>
            </w:r>
            <w:r>
              <w:rPr>
                <w:color w:val="000000" w:themeColor="text1"/>
                <w:kern w:val="0"/>
                <w:highlight w:val="none"/>
                <w14:textFill>
                  <w14:solidFill>
                    <w14:schemeClr w14:val="tx1"/>
                  </w14:solidFill>
                </w14:textFill>
              </w:rPr>
              <w:t>。其中评估和报告撰写等工作期限以采购人实际工作进度为准。</w:t>
            </w:r>
          </w:p>
          <w:p w14:paraId="3609B79B">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（二）服务地点：</w:t>
            </w:r>
            <w:r>
              <w:rPr>
                <w:rFonts w:hint="eastAsia"/>
                <w:color w:val="000000" w:themeColor="text1"/>
                <w:kern w:val="0"/>
                <w:highlight w:val="none"/>
                <w:lang w:val="en-US" w:eastAsia="zh-CN"/>
                <w14:textFill>
                  <w14:solidFill>
                    <w14:schemeClr w14:val="tx1"/>
                  </w14:solidFill>
                </w14:textFill>
              </w:rPr>
              <w:t>广西壮族自治区</w:t>
            </w:r>
            <w:r>
              <w:rPr>
                <w:rFonts w:hint="eastAsia"/>
                <w:color w:val="000000" w:themeColor="text1"/>
                <w:kern w:val="0"/>
                <w:highlight w:val="none"/>
                <w14:textFill>
                  <w14:solidFill>
                    <w14:schemeClr w14:val="tx1"/>
                  </w14:solidFill>
                </w14:textFill>
              </w:rPr>
              <w:t>南宁市</w:t>
            </w:r>
            <w:r>
              <w:rPr>
                <w:rFonts w:hint="eastAsia"/>
                <w:color w:val="000000" w:themeColor="text1"/>
                <w:kern w:val="0"/>
                <w:highlight w:val="none"/>
                <w:lang w:val="en-US" w:eastAsia="zh-CN"/>
                <w14:textFill>
                  <w14:solidFill>
                    <w14:schemeClr w14:val="tx1"/>
                  </w14:solidFill>
                </w14:textFill>
              </w:rPr>
              <w:t>青秀区</w:t>
            </w:r>
            <w:r>
              <w:rPr>
                <w:rFonts w:hint="eastAsia"/>
                <w:color w:val="000000" w:themeColor="text1"/>
                <w:kern w:val="0"/>
                <w:highlight w:val="none"/>
                <w14:textFill>
                  <w14:solidFill>
                    <w14:schemeClr w14:val="tx1"/>
                  </w14:solidFill>
                </w14:textFill>
              </w:rPr>
              <w:t>佛子岭路3号</w:t>
            </w:r>
            <w:r>
              <w:rPr>
                <w:color w:val="000000" w:themeColor="text1"/>
                <w:kern w:val="0"/>
                <w:highlight w:val="none"/>
                <w14:textFill>
                  <w14:solidFill>
                    <w14:schemeClr w14:val="tx1"/>
                  </w14:solidFill>
                </w14:textFill>
              </w:rPr>
              <w:t>。</w:t>
            </w:r>
          </w:p>
        </w:tc>
      </w:tr>
      <w:tr w14:paraId="3DF6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82" w:type="pct"/>
            <w:gridSpan w:val="2"/>
            <w:tcBorders>
              <w:top w:val="single" w:color="auto" w:sz="4" w:space="0"/>
              <w:left w:val="single" w:color="auto" w:sz="4" w:space="0"/>
              <w:bottom w:val="single" w:color="auto" w:sz="4" w:space="0"/>
              <w:right w:val="single" w:color="auto" w:sz="4" w:space="0"/>
            </w:tcBorders>
            <w:vAlign w:val="center"/>
          </w:tcPr>
          <w:p w14:paraId="2B78C1CF">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szCs w:val="24"/>
                <w:highlight w:val="none"/>
                <w14:textFill>
                  <w14:solidFill>
                    <w14:schemeClr w14:val="tx1"/>
                  </w14:solidFill>
                </w14:textFill>
              </w:rPr>
              <w:t>▲</w:t>
            </w:r>
            <w:r>
              <w:rPr>
                <w:color w:val="000000" w:themeColor="text1"/>
                <w:kern w:val="0"/>
                <w:highlight w:val="none"/>
                <w14:textFill>
                  <w14:solidFill>
                    <w14:schemeClr w14:val="tx1"/>
                  </w14:solidFill>
                </w14:textFill>
              </w:rPr>
              <w:t>其他要求</w:t>
            </w:r>
          </w:p>
        </w:tc>
        <w:tc>
          <w:tcPr>
            <w:tcW w:w="4317" w:type="pct"/>
            <w:gridSpan w:val="4"/>
            <w:tcBorders>
              <w:top w:val="single" w:color="auto" w:sz="4" w:space="0"/>
              <w:left w:val="single" w:color="auto" w:sz="4" w:space="0"/>
              <w:bottom w:val="single" w:color="auto" w:sz="4" w:space="0"/>
              <w:right w:val="single" w:color="auto" w:sz="4" w:space="0"/>
            </w:tcBorders>
            <w:vAlign w:val="center"/>
          </w:tcPr>
          <w:p w14:paraId="103F3A46">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1、供应商应根据项目要求，在响应文件中提供针对本项目的服务方案（至少要求包含技术方案、实施方案、拟投入本项目项目团队等内容）。</w:t>
            </w:r>
          </w:p>
          <w:p w14:paraId="6E29EA3C">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2、供应商须为本项目服务实施投入充足的服务人员，并确保响应文件中的人员信息真实、有效。</w:t>
            </w:r>
          </w:p>
          <w:p w14:paraId="08B7FF08">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3、验收要求及标准：根据采购需求的要求由采购方或采购方指定的第三方组织专家评审验收，通过专家评审，并提交广西壮族自治区市场监督管理局审定。</w:t>
            </w:r>
          </w:p>
          <w:p w14:paraId="53E4CF3A">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4、成交人及其工作人员对工作中涉及的国家秘密、商业秘密和个人隐私等予以保密，涉密文件和介质按相关规定使用和保存，未经批准不得对外透露工作信息，不得接受采访或以个人名义对外发表与项目内容相关的言论或文章。</w:t>
            </w:r>
          </w:p>
          <w:p w14:paraId="255F1CB9">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5、知识产权：</w:t>
            </w:r>
            <w:r>
              <w:rPr>
                <w:rFonts w:hint="eastAsia"/>
                <w:color w:val="000000" w:themeColor="text1"/>
                <w:highlight w:val="none"/>
                <w14:textFill>
                  <w14:solidFill>
                    <w14:schemeClr w14:val="tx1"/>
                  </w14:solidFill>
                </w14:textFill>
              </w:rPr>
              <w:t>本项目服务成果知识产权归属采购人。</w:t>
            </w:r>
            <w:r>
              <w:rPr>
                <w:color w:val="000000" w:themeColor="text1"/>
                <w:kern w:val="0"/>
                <w:highlight w:val="none"/>
                <w14:textFill>
                  <w14:solidFill>
                    <w14:schemeClr w14:val="tx1"/>
                  </w14:solidFill>
                </w14:textFill>
              </w:rPr>
              <w:t>采购人在使用成交人提供的产品及服务时免受第三方提出的侵犯其专利权或其它知识产权的起诉。如果第三方提出侵权指控，成交人应承担由此而引起的一切法律责任和费用。</w:t>
            </w:r>
          </w:p>
          <w:p w14:paraId="71154671">
            <w:pPr>
              <w:pStyle w:val="8"/>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6、成交人不得将项目非法分包或转包给任何单位和个人，否则采购人有权即刻终止合同，并要求成交人赔偿相应损失。</w:t>
            </w:r>
          </w:p>
          <w:p w14:paraId="3206C1D3">
            <w:pPr>
              <w:pStyle w:val="8"/>
              <w:spacing w:line="400" w:lineRule="exact"/>
              <w:ind w:firstLine="0"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7、</w:t>
            </w:r>
            <w:r>
              <w:rPr>
                <w:rFonts w:hint="eastAsia"/>
                <w:color w:val="000000" w:themeColor="text1"/>
                <w:kern w:val="0"/>
                <w:highlight w:val="none"/>
                <w14:textFill>
                  <w14:solidFill>
                    <w14:schemeClr w14:val="tx1"/>
                  </w14:solidFill>
                </w14:textFill>
              </w:rPr>
              <w:t>违约责任：若任意一项标准未通过立项或未成功发布实施，服务方需全额退还该项目的服务费用，并无偿继续服务，直至该项目通过立项并发布。</w:t>
            </w:r>
          </w:p>
          <w:p w14:paraId="69C5D56E">
            <w:pPr>
              <w:pStyle w:val="8"/>
              <w:spacing w:line="400" w:lineRule="exact"/>
              <w:ind w:firstLine="0" w:firstLineChars="0"/>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因政策或不可抗力导致的失败除外（需提供书面说明并经采购方签字确认）。</w:t>
            </w:r>
          </w:p>
        </w:tc>
      </w:tr>
    </w:tbl>
    <w:p w14:paraId="65086A1E">
      <w:pPr>
        <w:rPr>
          <w:color w:val="000000" w:themeColor="text1"/>
          <w:highlight w:val="none"/>
          <w14:textFill>
            <w14:solidFill>
              <w14:schemeClr w14:val="tx1"/>
            </w14:solidFill>
          </w14:textFill>
        </w:rPr>
      </w:pPr>
    </w:p>
    <w:p w14:paraId="1537B568">
      <w:pPr>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37FE9999">
      <w:pPr>
        <w:pStyle w:val="2"/>
        <w:rPr>
          <w:rFonts w:hint="eastAsia" w:ascii="仿宋" w:hAnsi="仿宋" w:eastAsia="仿宋" w:cs="仿宋"/>
          <w:color w:val="000000" w:themeColor="text1"/>
          <w:sz w:val="28"/>
          <w:szCs w:val="28"/>
          <w:highlight w:val="none"/>
          <w14:textFill>
            <w14:solidFill>
              <w14:schemeClr w14:val="tx1"/>
            </w14:solidFill>
          </w14:textFill>
        </w:rPr>
      </w:pPr>
    </w:p>
    <w:p w14:paraId="4ED7BC5B">
      <w:pPr>
        <w:pStyle w:val="2"/>
        <w:rPr>
          <w:rFonts w:hint="eastAsia" w:ascii="仿宋" w:hAnsi="仿宋" w:eastAsia="仿宋" w:cs="仿宋"/>
          <w:color w:val="000000" w:themeColor="text1"/>
          <w:sz w:val="28"/>
          <w:szCs w:val="28"/>
          <w:highlight w:val="none"/>
          <w14:textFill>
            <w14:solidFill>
              <w14:schemeClr w14:val="tx1"/>
            </w14:solidFill>
          </w14:textFill>
        </w:rPr>
      </w:pPr>
    </w:p>
    <w:p w14:paraId="3EEF7C71">
      <w:pPr>
        <w:pStyle w:val="2"/>
        <w:rPr>
          <w:rFonts w:hint="eastAsia" w:ascii="仿宋" w:hAnsi="仿宋" w:eastAsia="仿宋" w:cs="仿宋"/>
          <w:color w:val="000000" w:themeColor="text1"/>
          <w:sz w:val="28"/>
          <w:szCs w:val="28"/>
          <w:highlight w:val="none"/>
          <w14:textFill>
            <w14:solidFill>
              <w14:schemeClr w14:val="tx1"/>
            </w14:solidFill>
          </w14:textFill>
        </w:rPr>
      </w:pPr>
    </w:p>
    <w:p w14:paraId="276C6175">
      <w:pPr>
        <w:pStyle w:val="2"/>
        <w:rPr>
          <w:rFonts w:hint="eastAsia" w:ascii="仿宋" w:hAnsi="仿宋" w:eastAsia="仿宋" w:cs="仿宋"/>
          <w:color w:val="000000" w:themeColor="text1"/>
          <w:sz w:val="28"/>
          <w:szCs w:val="28"/>
          <w:highlight w:val="none"/>
          <w14:textFill>
            <w14:solidFill>
              <w14:schemeClr w14:val="tx1"/>
            </w14:solidFill>
          </w14:textFill>
        </w:rPr>
      </w:pPr>
    </w:p>
    <w:p w14:paraId="4467C4A2">
      <w:pPr>
        <w:pStyle w:val="2"/>
        <w:rPr>
          <w:rFonts w:hint="eastAsia" w:ascii="仿宋" w:hAnsi="仿宋" w:eastAsia="仿宋" w:cs="仿宋"/>
          <w:color w:val="000000" w:themeColor="text1"/>
          <w:sz w:val="28"/>
          <w:szCs w:val="28"/>
          <w:highlight w:val="none"/>
          <w14:textFill>
            <w14:solidFill>
              <w14:schemeClr w14:val="tx1"/>
            </w14:solidFill>
          </w14:textFill>
        </w:rPr>
      </w:pPr>
    </w:p>
    <w:p w14:paraId="74A5FA37">
      <w:pPr>
        <w:pStyle w:val="2"/>
        <w:rPr>
          <w:rFonts w:hint="eastAsia" w:ascii="仿宋" w:hAnsi="仿宋" w:eastAsia="仿宋" w:cs="仿宋"/>
          <w:color w:val="000000" w:themeColor="text1"/>
          <w:sz w:val="28"/>
          <w:szCs w:val="28"/>
          <w:highlight w:val="none"/>
          <w14:textFill>
            <w14:solidFill>
              <w14:schemeClr w14:val="tx1"/>
            </w14:solidFill>
          </w14:textFill>
        </w:rPr>
      </w:pPr>
    </w:p>
    <w:p w14:paraId="148F9C4E">
      <w:pPr>
        <w:pStyle w:val="2"/>
        <w:rPr>
          <w:rFonts w:hint="eastAsia" w:ascii="仿宋" w:hAnsi="仿宋" w:eastAsia="仿宋" w:cs="仿宋"/>
          <w:color w:val="000000" w:themeColor="text1"/>
          <w:sz w:val="28"/>
          <w:szCs w:val="28"/>
          <w:highlight w:val="none"/>
          <w14:textFill>
            <w14:solidFill>
              <w14:schemeClr w14:val="tx1"/>
            </w14:solidFill>
          </w14:textFill>
        </w:rPr>
      </w:pPr>
    </w:p>
    <w:p w14:paraId="7B725104">
      <w:pPr>
        <w:pStyle w:val="2"/>
        <w:rPr>
          <w:rFonts w:hint="eastAsia" w:ascii="仿宋" w:hAnsi="仿宋" w:eastAsia="仿宋" w:cs="仿宋"/>
          <w:color w:val="000000" w:themeColor="text1"/>
          <w:sz w:val="28"/>
          <w:szCs w:val="28"/>
          <w:highlight w:val="none"/>
          <w14:textFill>
            <w14:solidFill>
              <w14:schemeClr w14:val="tx1"/>
            </w14:solidFill>
          </w14:textFill>
        </w:rPr>
      </w:pPr>
    </w:p>
    <w:p w14:paraId="7317D9D8">
      <w:pPr>
        <w:pStyle w:val="2"/>
        <w:rPr>
          <w:rFonts w:hint="eastAsia" w:ascii="仿宋" w:hAnsi="仿宋" w:eastAsia="仿宋" w:cs="仿宋"/>
          <w:color w:val="000000" w:themeColor="text1"/>
          <w:sz w:val="28"/>
          <w:szCs w:val="28"/>
          <w:highlight w:val="none"/>
          <w14:textFill>
            <w14:solidFill>
              <w14:schemeClr w14:val="tx1"/>
            </w14:solidFill>
          </w14:textFill>
        </w:rPr>
      </w:pPr>
    </w:p>
    <w:p w14:paraId="6C17BDB4">
      <w:pPr>
        <w:pStyle w:val="2"/>
        <w:rPr>
          <w:rFonts w:hint="eastAsia" w:ascii="仿宋" w:hAnsi="仿宋" w:eastAsia="仿宋" w:cs="仿宋"/>
          <w:color w:val="000000" w:themeColor="text1"/>
          <w:sz w:val="28"/>
          <w:szCs w:val="28"/>
          <w:highlight w:val="none"/>
          <w14:textFill>
            <w14:solidFill>
              <w14:schemeClr w14:val="tx1"/>
            </w14:solidFill>
          </w14:textFill>
        </w:rPr>
      </w:pPr>
    </w:p>
    <w:p w14:paraId="62A9FD8E">
      <w:pPr>
        <w:pStyle w:val="2"/>
        <w:rPr>
          <w:rFonts w:hint="eastAsia" w:ascii="仿宋" w:hAnsi="仿宋" w:eastAsia="仿宋" w:cs="仿宋"/>
          <w:color w:val="000000" w:themeColor="text1"/>
          <w:sz w:val="28"/>
          <w:szCs w:val="28"/>
          <w:highlight w:val="none"/>
          <w14:textFill>
            <w14:solidFill>
              <w14:schemeClr w14:val="tx1"/>
            </w14:solidFill>
          </w14:textFill>
        </w:rPr>
      </w:pPr>
    </w:p>
    <w:p w14:paraId="1BBD8F97">
      <w:pPr>
        <w:pStyle w:val="2"/>
        <w:rPr>
          <w:rFonts w:hint="eastAsia" w:ascii="仿宋" w:hAnsi="仿宋" w:eastAsia="仿宋" w:cs="仿宋"/>
          <w:color w:val="000000" w:themeColor="text1"/>
          <w:sz w:val="28"/>
          <w:szCs w:val="28"/>
          <w:highlight w:val="none"/>
          <w14:textFill>
            <w14:solidFill>
              <w14:schemeClr w14:val="tx1"/>
            </w14:solidFill>
          </w14:textFill>
        </w:rPr>
      </w:pPr>
    </w:p>
    <w:p w14:paraId="744F9093">
      <w:pPr>
        <w:pStyle w:val="2"/>
        <w:rPr>
          <w:rFonts w:hint="eastAsia" w:ascii="仿宋" w:hAnsi="仿宋" w:eastAsia="仿宋" w:cs="仿宋"/>
          <w:color w:val="000000" w:themeColor="text1"/>
          <w:sz w:val="28"/>
          <w:szCs w:val="28"/>
          <w:highlight w:val="none"/>
          <w14:textFill>
            <w14:solidFill>
              <w14:schemeClr w14:val="tx1"/>
            </w14:solidFill>
          </w14:textFill>
        </w:rPr>
      </w:pPr>
    </w:p>
    <w:p w14:paraId="6E9B2735">
      <w:pPr>
        <w:pStyle w:val="2"/>
        <w:rPr>
          <w:rFonts w:hint="eastAsia" w:ascii="仿宋" w:hAnsi="仿宋" w:eastAsia="仿宋" w:cs="仿宋"/>
          <w:color w:val="000000" w:themeColor="text1"/>
          <w:sz w:val="28"/>
          <w:szCs w:val="28"/>
          <w:highlight w:val="none"/>
          <w14:textFill>
            <w14:solidFill>
              <w14:schemeClr w14:val="tx1"/>
            </w14:solidFill>
          </w14:textFill>
        </w:rPr>
      </w:pPr>
    </w:p>
    <w:p w14:paraId="784F88FB">
      <w:pPr>
        <w:pStyle w:val="2"/>
        <w:rPr>
          <w:rFonts w:hint="eastAsia" w:ascii="仿宋" w:hAnsi="仿宋" w:eastAsia="仿宋" w:cs="仿宋"/>
          <w:color w:val="000000" w:themeColor="text1"/>
          <w:sz w:val="28"/>
          <w:szCs w:val="28"/>
          <w:highlight w:val="none"/>
          <w14:textFill>
            <w14:solidFill>
              <w14:schemeClr w14:val="tx1"/>
            </w14:solidFill>
          </w14:textFill>
        </w:rPr>
      </w:pPr>
    </w:p>
    <w:p w14:paraId="3548BE0D">
      <w:pPr>
        <w:pStyle w:val="2"/>
        <w:rPr>
          <w:rFonts w:hint="eastAsia" w:ascii="仿宋" w:hAnsi="仿宋" w:eastAsia="仿宋" w:cs="仿宋"/>
          <w:color w:val="000000" w:themeColor="text1"/>
          <w:sz w:val="28"/>
          <w:szCs w:val="28"/>
          <w:highlight w:val="none"/>
          <w14:textFill>
            <w14:solidFill>
              <w14:schemeClr w14:val="tx1"/>
            </w14:solidFill>
          </w14:textFill>
        </w:rPr>
      </w:pPr>
    </w:p>
    <w:p w14:paraId="55CC24A4">
      <w:pPr>
        <w:pStyle w:val="2"/>
        <w:rPr>
          <w:rFonts w:hint="eastAsia" w:ascii="仿宋" w:hAnsi="仿宋" w:eastAsia="仿宋" w:cs="仿宋"/>
          <w:color w:val="000000" w:themeColor="text1"/>
          <w:sz w:val="28"/>
          <w:szCs w:val="28"/>
          <w:highlight w:val="none"/>
          <w14:textFill>
            <w14:solidFill>
              <w14:schemeClr w14:val="tx1"/>
            </w14:solidFill>
          </w14:textFill>
        </w:rPr>
      </w:pPr>
    </w:p>
    <w:p w14:paraId="262DE770">
      <w:pPr>
        <w:pStyle w:val="2"/>
        <w:rPr>
          <w:rFonts w:hint="eastAsia" w:ascii="仿宋" w:hAnsi="仿宋" w:eastAsia="仿宋" w:cs="仿宋"/>
          <w:color w:val="000000" w:themeColor="text1"/>
          <w:sz w:val="28"/>
          <w:szCs w:val="28"/>
          <w:highlight w:val="none"/>
          <w14:textFill>
            <w14:solidFill>
              <w14:schemeClr w14:val="tx1"/>
            </w14:solidFill>
          </w14:textFill>
        </w:rPr>
      </w:pPr>
    </w:p>
    <w:p w14:paraId="4B1016C8">
      <w:pPr>
        <w:pStyle w:val="2"/>
        <w:rPr>
          <w:rFonts w:hint="eastAsia" w:ascii="仿宋" w:hAnsi="仿宋" w:eastAsia="仿宋" w:cs="仿宋"/>
          <w:color w:val="000000" w:themeColor="text1"/>
          <w:sz w:val="28"/>
          <w:szCs w:val="28"/>
          <w:highlight w:val="none"/>
          <w14:textFill>
            <w14:solidFill>
              <w14:schemeClr w14:val="tx1"/>
            </w14:solidFill>
          </w14:textFill>
        </w:rPr>
      </w:pPr>
    </w:p>
    <w:p w14:paraId="1FA95C19">
      <w:pPr>
        <w:pStyle w:val="2"/>
        <w:rPr>
          <w:rFonts w:hint="eastAsia" w:ascii="仿宋" w:hAnsi="仿宋" w:eastAsia="仿宋" w:cs="仿宋"/>
          <w:color w:val="000000" w:themeColor="text1"/>
          <w:sz w:val="28"/>
          <w:szCs w:val="28"/>
          <w:highlight w:val="none"/>
          <w14:textFill>
            <w14:solidFill>
              <w14:schemeClr w14:val="tx1"/>
            </w14:solidFill>
          </w14:textFill>
        </w:rPr>
      </w:pPr>
    </w:p>
    <w:p w14:paraId="4B2BB266">
      <w:pPr>
        <w:pStyle w:val="2"/>
        <w:rPr>
          <w:rFonts w:hint="eastAsia" w:ascii="仿宋" w:hAnsi="仿宋" w:eastAsia="仿宋" w:cs="仿宋"/>
          <w:color w:val="000000" w:themeColor="text1"/>
          <w:sz w:val="28"/>
          <w:szCs w:val="28"/>
          <w:highlight w:val="none"/>
          <w14:textFill>
            <w14:solidFill>
              <w14:schemeClr w14:val="tx1"/>
            </w14:solidFill>
          </w14:textFill>
        </w:rPr>
      </w:pPr>
    </w:p>
    <w:p w14:paraId="44E0BE7D">
      <w:pPr>
        <w:pStyle w:val="2"/>
        <w:rPr>
          <w:rFonts w:hint="eastAsia" w:ascii="仿宋" w:hAnsi="仿宋" w:eastAsia="仿宋" w:cs="仿宋"/>
          <w:color w:val="000000" w:themeColor="text1"/>
          <w:sz w:val="28"/>
          <w:szCs w:val="28"/>
          <w:highlight w:val="none"/>
          <w14:textFill>
            <w14:solidFill>
              <w14:schemeClr w14:val="tx1"/>
            </w14:solidFill>
          </w14:textFill>
        </w:rPr>
      </w:pPr>
    </w:p>
    <w:p w14:paraId="64556C2D">
      <w:pPr>
        <w:pStyle w:val="2"/>
        <w:rPr>
          <w:rFonts w:hint="eastAsia" w:ascii="仿宋" w:hAnsi="仿宋" w:eastAsia="仿宋" w:cs="仿宋"/>
          <w:color w:val="000000" w:themeColor="text1"/>
          <w:sz w:val="28"/>
          <w:szCs w:val="28"/>
          <w:highlight w:val="none"/>
          <w14:textFill>
            <w14:solidFill>
              <w14:schemeClr w14:val="tx1"/>
            </w14:solidFill>
          </w14:textFill>
        </w:rPr>
      </w:pPr>
    </w:p>
    <w:p w14:paraId="31DB528C">
      <w:pPr>
        <w:pStyle w:val="2"/>
        <w:rPr>
          <w:rFonts w:hint="eastAsia" w:ascii="仿宋" w:hAnsi="仿宋" w:eastAsia="仿宋" w:cs="仿宋"/>
          <w:color w:val="000000" w:themeColor="text1"/>
          <w:sz w:val="28"/>
          <w:szCs w:val="28"/>
          <w:highlight w:val="none"/>
          <w14:textFill>
            <w14:solidFill>
              <w14:schemeClr w14:val="tx1"/>
            </w14:solidFill>
          </w14:textFill>
        </w:rPr>
      </w:pPr>
    </w:p>
    <w:p w14:paraId="3880E781">
      <w:pPr>
        <w:pStyle w:val="2"/>
        <w:rPr>
          <w:rFonts w:hint="eastAsia" w:ascii="仿宋" w:hAnsi="仿宋" w:eastAsia="仿宋" w:cs="仿宋"/>
          <w:color w:val="000000" w:themeColor="text1"/>
          <w:sz w:val="28"/>
          <w:szCs w:val="28"/>
          <w:highlight w:val="none"/>
          <w14:textFill>
            <w14:solidFill>
              <w14:schemeClr w14:val="tx1"/>
            </w14:solidFill>
          </w14:textFill>
        </w:rPr>
      </w:pPr>
    </w:p>
    <w:p w14:paraId="275EFEAA">
      <w:pPr>
        <w:pStyle w:val="2"/>
        <w:rPr>
          <w:rFonts w:hint="eastAsia" w:ascii="仿宋" w:hAnsi="仿宋" w:eastAsia="仿宋" w:cs="仿宋"/>
          <w:color w:val="000000" w:themeColor="text1"/>
          <w:sz w:val="28"/>
          <w:szCs w:val="28"/>
          <w:highlight w:val="none"/>
          <w14:textFill>
            <w14:solidFill>
              <w14:schemeClr w14:val="tx1"/>
            </w14:solidFill>
          </w14:textFill>
        </w:rPr>
      </w:pPr>
    </w:p>
    <w:p w14:paraId="1898DD18">
      <w:pPr>
        <w:pStyle w:val="2"/>
        <w:rPr>
          <w:rFonts w:hint="eastAsia" w:ascii="仿宋" w:hAnsi="仿宋" w:eastAsia="仿宋" w:cs="仿宋"/>
          <w:color w:val="000000" w:themeColor="text1"/>
          <w:sz w:val="28"/>
          <w:szCs w:val="28"/>
          <w:highlight w:val="none"/>
          <w14:textFill>
            <w14:solidFill>
              <w14:schemeClr w14:val="tx1"/>
            </w14:solidFill>
          </w14:textFill>
        </w:rPr>
      </w:pPr>
    </w:p>
    <w:p w14:paraId="06DBA15C">
      <w:pPr>
        <w:pStyle w:val="2"/>
        <w:rPr>
          <w:rFonts w:hint="eastAsia" w:ascii="仿宋" w:hAnsi="仿宋" w:eastAsia="仿宋" w:cs="仿宋"/>
          <w:color w:val="000000" w:themeColor="text1"/>
          <w:sz w:val="28"/>
          <w:szCs w:val="28"/>
          <w:highlight w:val="none"/>
          <w14:textFill>
            <w14:solidFill>
              <w14:schemeClr w14:val="tx1"/>
            </w14:solidFill>
          </w14:textFill>
        </w:rPr>
      </w:pPr>
    </w:p>
    <w:p w14:paraId="00E93CE9">
      <w:pPr>
        <w:jc w:val="center"/>
        <w:rPr>
          <w:rFonts w:hint="eastAsia" w:ascii="仿宋" w:hAnsi="仿宋" w:eastAsia="仿宋" w:cs="仿宋"/>
          <w:b/>
          <w:bCs/>
          <w:color w:val="000000" w:themeColor="text1"/>
          <w:sz w:val="40"/>
          <w:szCs w:val="40"/>
          <w:highlight w:val="none"/>
          <w14:textFill>
            <w14:solidFill>
              <w14:schemeClr w14:val="tx1"/>
            </w14:solidFill>
          </w14:textFill>
        </w:rPr>
      </w:pPr>
      <w:r>
        <w:rPr>
          <w:rFonts w:hint="eastAsia" w:ascii="仿宋" w:hAnsi="仿宋" w:eastAsia="仿宋" w:cs="仿宋"/>
          <w:b/>
          <w:bCs/>
          <w:color w:val="000000" w:themeColor="text1"/>
          <w:sz w:val="40"/>
          <w:szCs w:val="40"/>
          <w:highlight w:val="none"/>
          <w14:textFill>
            <w14:solidFill>
              <w14:schemeClr w14:val="tx1"/>
            </w14:solidFill>
          </w14:textFill>
        </w:rPr>
        <w:t>采购制定</w:t>
      </w:r>
      <w:r>
        <w:rPr>
          <w:rFonts w:hint="eastAsia" w:ascii="仿宋" w:hAnsi="仿宋" w:eastAsia="仿宋" w:cs="仿宋"/>
          <w:b/>
          <w:bCs/>
          <w:color w:val="000000" w:themeColor="text1"/>
          <w:sz w:val="40"/>
          <w:szCs w:val="40"/>
          <w:highlight w:val="none"/>
          <w:lang w:val="en-US" w:eastAsia="zh-CN"/>
          <w14:textFill>
            <w14:solidFill>
              <w14:schemeClr w14:val="tx1"/>
            </w14:solidFill>
          </w14:textFill>
        </w:rPr>
        <w:t>团体</w:t>
      </w:r>
      <w:r>
        <w:rPr>
          <w:rFonts w:hint="eastAsia" w:ascii="仿宋" w:hAnsi="仿宋" w:eastAsia="仿宋" w:cs="仿宋"/>
          <w:b/>
          <w:bCs/>
          <w:color w:val="000000" w:themeColor="text1"/>
          <w:sz w:val="40"/>
          <w:szCs w:val="40"/>
          <w:highlight w:val="none"/>
          <w14:textFill>
            <w14:solidFill>
              <w14:schemeClr w14:val="tx1"/>
            </w14:solidFill>
          </w14:textFill>
        </w:rPr>
        <w:t>标准服务项目</w:t>
      </w:r>
    </w:p>
    <w:p w14:paraId="20F4814E">
      <w:pPr>
        <w:jc w:val="center"/>
        <w:rPr>
          <w:rFonts w:hint="eastAsia" w:ascii="仿宋" w:hAnsi="仿宋" w:eastAsia="仿宋" w:cs="仿宋"/>
          <w:b/>
          <w:bCs/>
          <w:color w:val="000000" w:themeColor="text1"/>
          <w:sz w:val="40"/>
          <w:szCs w:val="40"/>
          <w:highlight w:val="none"/>
          <w14:textFill>
            <w14:solidFill>
              <w14:schemeClr w14:val="tx1"/>
            </w14:solidFill>
          </w14:textFill>
        </w:rPr>
      </w:pPr>
      <w:r>
        <w:rPr>
          <w:rFonts w:hint="eastAsia" w:ascii="仿宋" w:hAnsi="仿宋" w:eastAsia="仿宋" w:cs="仿宋"/>
          <w:b/>
          <w:bCs/>
          <w:color w:val="000000" w:themeColor="text1"/>
          <w:sz w:val="40"/>
          <w:szCs w:val="40"/>
          <w:highlight w:val="none"/>
          <w14:textFill>
            <w14:solidFill>
              <w14:schemeClr w14:val="tx1"/>
            </w14:solidFill>
          </w14:textFill>
        </w:rPr>
        <w:t>评分标准</w:t>
      </w:r>
    </w:p>
    <w:p w14:paraId="26B0F149">
      <w:pPr>
        <w:pStyle w:val="4"/>
        <w:spacing w:line="590" w:lineRule="exact"/>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p>
    <w:p w14:paraId="7C3CF3EB">
      <w:pPr>
        <w:numPr>
          <w:ilvl w:val="0"/>
          <w:numId w:val="11"/>
        </w:numPr>
        <w:ind w:left="0" w:leftChars="0" w:firstLine="420" w:firstLineChars="0"/>
        <w:rPr>
          <w:rFonts w:hAnsi="宋体" w:cs="宋体"/>
          <w:color w:val="000000" w:themeColor="text1"/>
          <w:sz w:val="32"/>
          <w:szCs w:val="32"/>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评分细则</w:t>
      </w:r>
    </w:p>
    <w:p w14:paraId="011FD781">
      <w:pPr>
        <w:pStyle w:val="5"/>
        <w:widowControl w:val="0"/>
        <w:numPr>
          <w:ilvl w:val="0"/>
          <w:numId w:val="12"/>
        </w:numPr>
        <w:spacing w:before="0" w:beforeAutospacing="0" w:after="0" w:afterAutospacing="0" w:line="590" w:lineRule="exact"/>
        <w:jc w:val="both"/>
        <w:outlineLvl w:val="1"/>
        <w:rPr>
          <w:rFonts w:hint="default" w:ascii="仿宋_GB2312" w:hAnsi="仿宋_GB2312" w:eastAsia="仿宋_GB2312" w:cs="仿宋_GB2312"/>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kern w:val="2"/>
          <w:sz w:val="32"/>
          <w:szCs w:val="40"/>
          <w:highlight w:val="none"/>
          <w:lang w:val="en-US" w:eastAsia="zh-CN" w:bidi="ar-SA"/>
          <w14:textFill>
            <w14:solidFill>
              <w14:schemeClr w14:val="tx1"/>
            </w14:solidFill>
          </w14:textFill>
        </w:rPr>
        <w:t>价格分…………………………………（满分</w:t>
      </w:r>
      <w:r>
        <w:rPr>
          <w:rFonts w:hint="default" w:ascii="仿宋" w:hAnsi="仿宋" w:eastAsia="仿宋" w:cs="仿宋"/>
          <w:b/>
          <w:bCs/>
          <w:color w:val="000000" w:themeColor="text1"/>
          <w:kern w:val="2"/>
          <w:sz w:val="32"/>
          <w:szCs w:val="40"/>
          <w:highlight w:val="none"/>
          <w:lang w:val="en-US" w:eastAsia="zh-CN" w:bidi="ar-SA"/>
          <w14:textFill>
            <w14:solidFill>
              <w14:schemeClr w14:val="tx1"/>
            </w14:solidFill>
          </w14:textFill>
        </w:rPr>
        <w:t>10</w:t>
      </w:r>
      <w:r>
        <w:rPr>
          <w:rFonts w:hint="eastAsia" w:ascii="仿宋" w:hAnsi="仿宋" w:eastAsia="仿宋" w:cs="仿宋"/>
          <w:b/>
          <w:bCs/>
          <w:color w:val="000000" w:themeColor="text1"/>
          <w:kern w:val="2"/>
          <w:sz w:val="32"/>
          <w:szCs w:val="40"/>
          <w:highlight w:val="none"/>
          <w:lang w:val="en-US" w:eastAsia="zh-CN" w:bidi="ar-SA"/>
          <w14:textFill>
            <w14:solidFill>
              <w14:schemeClr w14:val="tx1"/>
            </w14:solidFill>
          </w14:textFill>
        </w:rPr>
        <w:t>分）</w:t>
      </w:r>
    </w:p>
    <w:p w14:paraId="42DCAF99">
      <w:pPr>
        <w:pStyle w:val="5"/>
        <w:widowControl w:val="0"/>
        <w:spacing w:before="0" w:beforeAutospacing="0" w:after="0" w:afterAutospacing="0" w:line="590" w:lineRule="exact"/>
        <w:ind w:firstLine="420"/>
        <w:jc w:val="both"/>
        <w:outlineLvl w:val="1"/>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价格分采用低价优先法计算，即满足参数需求文件最低的报价为响应基准价，其价格分为满分。其他响应供应商的价格分统一按照下列公式计算：</w:t>
      </w:r>
    </w:p>
    <w:p w14:paraId="157FBC29">
      <w:pPr>
        <w:pStyle w:val="5"/>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报价得分＝（响应基准价/最终报价）×10。</w:t>
      </w:r>
    </w:p>
    <w:p w14:paraId="0DAC9D56">
      <w:pPr>
        <w:pStyle w:val="5"/>
        <w:widowControl w:val="0"/>
        <w:spacing w:before="0" w:beforeAutospacing="0" w:after="0" w:afterAutospacing="0" w:line="590" w:lineRule="exact"/>
        <w:ind w:firstLine="420"/>
        <w:jc w:val="both"/>
        <w:outlineLvl w:val="1"/>
        <w:rPr>
          <w:rFonts w:hint="default" w:ascii="仿宋_GB2312" w:hAnsi="仿宋_GB2312" w:eastAsia="仿宋_GB2312" w:cs="仿宋_GB2312"/>
          <w:b/>
          <w:color w:val="000000" w:themeColor="text1"/>
          <w:sz w:val="32"/>
          <w:szCs w:val="32"/>
          <w:highlight w:val="none"/>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（二）</w:t>
      </w:r>
      <w:r>
        <w:rPr>
          <w:rFonts w:hint="eastAsia" w:ascii="仿宋" w:hAnsi="仿宋" w:eastAsia="仿宋" w:cs="仿宋"/>
          <w:b/>
          <w:bCs/>
          <w:color w:val="000000" w:themeColor="text1"/>
          <w:kern w:val="2"/>
          <w:sz w:val="32"/>
          <w:szCs w:val="40"/>
          <w:highlight w:val="none"/>
          <w:lang w:val="en-US" w:eastAsia="zh-CN" w:bidi="ar-SA"/>
          <w14:textFill>
            <w14:solidFill>
              <w14:schemeClr w14:val="tx1"/>
            </w14:solidFill>
          </w14:textFill>
        </w:rPr>
        <w:t>技术分…………………………………………</w:t>
      </w:r>
      <w:r>
        <w:rPr>
          <w:rFonts w:hint="default" w:ascii="仿宋" w:hAnsi="仿宋" w:eastAsia="仿宋" w:cs="仿宋"/>
          <w:b/>
          <w:bCs/>
          <w:color w:val="000000" w:themeColor="text1"/>
          <w:kern w:val="2"/>
          <w:sz w:val="32"/>
          <w:szCs w:val="40"/>
          <w:highlight w:val="none"/>
          <w:lang w:val="en-US" w:eastAsia="zh-CN" w:bidi="ar-SA"/>
          <w14:textFill>
            <w14:solidFill>
              <w14:schemeClr w14:val="tx1"/>
            </w14:solidFill>
          </w14:textFill>
        </w:rPr>
        <w:t>5</w:t>
      </w:r>
      <w:r>
        <w:rPr>
          <w:rFonts w:hint="eastAsia" w:ascii="仿宋" w:hAnsi="仿宋" w:eastAsia="仿宋" w:cs="仿宋"/>
          <w:b/>
          <w:bCs/>
          <w:color w:val="000000" w:themeColor="text1"/>
          <w:kern w:val="2"/>
          <w:sz w:val="32"/>
          <w:szCs w:val="40"/>
          <w:highlight w:val="none"/>
          <w:lang w:val="en-US" w:eastAsia="zh-CN" w:bidi="ar-SA"/>
          <w14:textFill>
            <w14:solidFill>
              <w14:schemeClr w14:val="tx1"/>
            </w14:solidFill>
          </w14:textFill>
        </w:rPr>
        <w:t>0分</w:t>
      </w:r>
    </w:p>
    <w:p w14:paraId="02DBA466">
      <w:pPr>
        <w:pStyle w:val="5"/>
        <w:widowControl w:val="0"/>
        <w:spacing w:before="0" w:beforeAutospacing="0" w:after="0" w:afterAutospacing="0" w:line="590" w:lineRule="exact"/>
        <w:ind w:firstLine="420"/>
        <w:jc w:val="both"/>
        <w:outlineLvl w:val="2"/>
        <w:rPr>
          <w:rFonts w:hint="default" w:ascii="仿宋_GB2312" w:hAnsi="仿宋_GB2312" w:eastAsia="仿宋_GB2312" w:cs="仿宋_GB2312"/>
          <w:b/>
          <w:color w:val="000000" w:themeColor="text1"/>
          <w:sz w:val="28"/>
          <w:szCs w:val="28"/>
          <w:highlight w:val="none"/>
          <w14:textFill>
            <w14:solidFill>
              <w14:schemeClr w14:val="tx1"/>
            </w14:solidFill>
          </w14:textFill>
        </w:rPr>
      </w:pPr>
      <w:r>
        <w:rPr>
          <w:rFonts w:ascii="仿宋_GB2312" w:hAnsi="仿宋_GB2312" w:eastAsia="仿宋_GB2312" w:cs="仿宋_GB2312"/>
          <w:b/>
          <w:color w:val="000000" w:themeColor="text1"/>
          <w:sz w:val="28"/>
          <w:szCs w:val="28"/>
          <w:highlight w:val="none"/>
          <w14:textFill>
            <w14:solidFill>
              <w14:schemeClr w14:val="tx1"/>
            </w14:solidFill>
          </w14:textFill>
        </w:rPr>
        <w:t>1. 技术方案（满分25分）</w:t>
      </w:r>
    </w:p>
    <w:p w14:paraId="69A5E773">
      <w:pPr>
        <w:pStyle w:val="5"/>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一档（10分）：技术方案简单，项目研究有目标，方式方法简单，研究大纲一般；</w:t>
      </w:r>
    </w:p>
    <w:p w14:paraId="45A49929">
      <w:pPr>
        <w:pStyle w:val="5"/>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二档（15分）：技术方案可行，项目研究目标明确，方式方法可行，研究大纲详细；</w:t>
      </w:r>
    </w:p>
    <w:p w14:paraId="3069E023">
      <w:pPr>
        <w:pStyle w:val="5"/>
        <w:widowControl w:val="0"/>
        <w:spacing w:before="0" w:beforeAutospacing="0" w:after="0" w:afterAutospacing="0" w:line="590" w:lineRule="exact"/>
        <w:ind w:firstLine="420"/>
        <w:jc w:val="both"/>
        <w:outlineLvl w:val="1"/>
        <w:rPr>
          <w:rFonts w:hint="default"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三档（25分）：技术方案先进，项目研究目标突出，方式方法详实、科学、可行，研究大纲全面。</w:t>
      </w:r>
    </w:p>
    <w:p w14:paraId="012799FA">
      <w:pPr>
        <w:pStyle w:val="5"/>
        <w:widowControl w:val="0"/>
        <w:spacing w:before="0" w:beforeAutospacing="0" w:after="0" w:afterAutospacing="0" w:line="590" w:lineRule="exact"/>
        <w:ind w:firstLine="420"/>
        <w:jc w:val="both"/>
        <w:outlineLvl w:val="2"/>
        <w:rPr>
          <w:rFonts w:hint="default" w:ascii="仿宋_GB2312" w:hAnsi="仿宋_GB2312" w:eastAsia="仿宋_GB2312" w:cs="仿宋_GB2312"/>
          <w:b/>
          <w:color w:val="000000" w:themeColor="text1"/>
          <w:sz w:val="28"/>
          <w:szCs w:val="28"/>
          <w:highlight w:val="none"/>
          <w14:textFill>
            <w14:solidFill>
              <w14:schemeClr w14:val="tx1"/>
            </w14:solidFill>
          </w14:textFill>
        </w:rPr>
      </w:pPr>
      <w:r>
        <w:rPr>
          <w:rFonts w:ascii="仿宋_GB2312" w:hAnsi="仿宋_GB2312" w:eastAsia="仿宋_GB2312" w:cs="仿宋_GB2312"/>
          <w:b/>
          <w:color w:val="000000" w:themeColor="text1"/>
          <w:sz w:val="28"/>
          <w:szCs w:val="28"/>
          <w:highlight w:val="none"/>
          <w14:textFill>
            <w14:solidFill>
              <w14:schemeClr w14:val="tx1"/>
            </w14:solidFill>
          </w14:textFill>
        </w:rPr>
        <w:t>2. 实施方案（满分25分）</w:t>
      </w:r>
    </w:p>
    <w:p w14:paraId="0FC5D89F">
      <w:pPr>
        <w:pStyle w:val="5"/>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一档（10分）：实施方案一般，项目研究思路简单，技术路线单一，人员安排进度及措施简单；</w:t>
      </w:r>
    </w:p>
    <w:p w14:paraId="7D154511">
      <w:pPr>
        <w:pStyle w:val="5"/>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二档（15分）：实施方案可行，项目研究思路清晰，技术路线全面，人员安排进度及措施详细；</w:t>
      </w:r>
    </w:p>
    <w:p w14:paraId="1C75B6A2">
      <w:pPr>
        <w:pStyle w:val="5"/>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三档（25分）：实施方案先进，项目研究思路全面，技术路线创新，人员配备合理，进度及措施考虑周全有保证。</w:t>
      </w:r>
    </w:p>
    <w:p w14:paraId="68AC74A0">
      <w:pPr>
        <w:pStyle w:val="5"/>
        <w:widowControl w:val="0"/>
        <w:spacing w:before="0" w:beforeAutospacing="0" w:after="0" w:afterAutospacing="0" w:line="590" w:lineRule="exact"/>
        <w:ind w:firstLine="420"/>
        <w:jc w:val="both"/>
        <w:outlineLvl w:val="1"/>
        <w:rPr>
          <w:rFonts w:hint="default" w:ascii="仿宋_GB2312" w:hAnsi="仿宋_GB2312" w:eastAsia="仿宋_GB2312" w:cs="仿宋_GB2312"/>
          <w:b/>
          <w:color w:val="000000" w:themeColor="text1"/>
          <w:sz w:val="32"/>
          <w:szCs w:val="32"/>
          <w:highlight w:val="none"/>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（三）人员配备分……………………………………9分</w:t>
      </w:r>
    </w:p>
    <w:p w14:paraId="38949602">
      <w:pPr>
        <w:pStyle w:val="5"/>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服务商</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拟投入团体标准项目的人员10人以上（含本数）的，同时均参与过标准制定的，得6分；10人以下的得2分（满分6分）。</w:t>
      </w:r>
    </w:p>
    <w:p w14:paraId="35A54105">
      <w:pPr>
        <w:pStyle w:val="5"/>
        <w:widowControl w:val="0"/>
        <w:spacing w:before="0" w:beforeAutospacing="0" w:after="0" w:afterAutospacing="0" w:line="590" w:lineRule="exact"/>
        <w:ind w:firstLine="420"/>
        <w:jc w:val="both"/>
        <w:outlineLvl w:val="1"/>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2.拟投入项目服务负责人为中级职称的得1分，具有高级职称或以上的得3分（满分3分）。</w:t>
      </w:r>
    </w:p>
    <w:p w14:paraId="3E422CF1">
      <w:pPr>
        <w:pStyle w:val="5"/>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证明材料要求提供复印件并加盖单位公章。</w:t>
      </w:r>
    </w:p>
    <w:p w14:paraId="28CC16D7">
      <w:pPr>
        <w:pStyle w:val="5"/>
        <w:widowControl w:val="0"/>
        <w:spacing w:before="0" w:beforeAutospacing="0" w:after="0" w:afterAutospacing="0" w:line="590" w:lineRule="exact"/>
        <w:ind w:firstLine="420"/>
        <w:jc w:val="both"/>
        <w:outlineLvl w:val="1"/>
        <w:rPr>
          <w:rFonts w:hint="default" w:ascii="仿宋_GB2312" w:hAnsi="仿宋_GB2312" w:eastAsia="仿宋_GB2312" w:cs="仿宋_GB2312"/>
          <w:b/>
          <w:color w:val="000000" w:themeColor="text1"/>
          <w:sz w:val="32"/>
          <w:szCs w:val="32"/>
          <w:highlight w:val="none"/>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（四）荣誉分…………………………………………</w:t>
      </w:r>
      <w:r>
        <w:rPr>
          <w:rFonts w:hint="default" w:ascii="仿宋_GB2312" w:hAnsi="仿宋_GB2312" w:eastAsia="仿宋_GB2312" w:cs="仿宋_GB2312"/>
          <w:b/>
          <w:color w:val="000000" w:themeColor="text1"/>
          <w:sz w:val="32"/>
          <w:szCs w:val="32"/>
          <w:highlight w:val="none"/>
          <w14:textFill>
            <w14:solidFill>
              <w14:schemeClr w14:val="tx1"/>
            </w14:solidFill>
          </w14:textFill>
        </w:rPr>
        <w:t>13</w:t>
      </w:r>
      <w:r>
        <w:rPr>
          <w:rFonts w:ascii="仿宋_GB2312" w:hAnsi="仿宋_GB2312" w:eastAsia="仿宋_GB2312" w:cs="仿宋_GB2312"/>
          <w:b/>
          <w:color w:val="000000" w:themeColor="text1"/>
          <w:sz w:val="32"/>
          <w:szCs w:val="32"/>
          <w:highlight w:val="none"/>
          <w14:textFill>
            <w14:solidFill>
              <w14:schemeClr w14:val="tx1"/>
            </w14:solidFill>
          </w14:textFill>
        </w:rPr>
        <w:t>分</w:t>
      </w:r>
    </w:p>
    <w:p w14:paraId="011232D3">
      <w:pPr>
        <w:pStyle w:val="5"/>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服务商</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参与研制过国家标准的，得</w:t>
      </w:r>
      <w:r>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t>8</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分；参与研制过省级地方标准的，得</w:t>
      </w:r>
      <w:r>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t>4</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分；参与研制过团体标准的，得</w:t>
      </w:r>
      <w:r>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分（满分</w:t>
      </w:r>
      <w:r>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t>13</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分）。</w:t>
      </w:r>
    </w:p>
    <w:p w14:paraId="7E870916">
      <w:pPr>
        <w:pStyle w:val="5"/>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证明材料要求提供复印件并加盖单位公章。</w:t>
      </w:r>
    </w:p>
    <w:p w14:paraId="2EE2D4BB">
      <w:pPr>
        <w:pStyle w:val="5"/>
        <w:widowControl w:val="0"/>
        <w:spacing w:before="0" w:beforeAutospacing="0" w:after="0" w:afterAutospacing="0" w:line="590" w:lineRule="exact"/>
        <w:ind w:firstLine="420"/>
        <w:jc w:val="both"/>
        <w:outlineLvl w:val="1"/>
        <w:rPr>
          <w:rFonts w:hint="default" w:ascii="仿宋_GB2312" w:hAnsi="仿宋_GB2312" w:eastAsia="仿宋_GB2312" w:cs="仿宋_GB2312"/>
          <w:b/>
          <w:color w:val="000000" w:themeColor="text1"/>
          <w:sz w:val="32"/>
          <w:szCs w:val="32"/>
          <w:highlight w:val="none"/>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（五）业绩分…………………………………………</w:t>
      </w:r>
      <w:r>
        <w:rPr>
          <w:rFonts w:hint="default" w:ascii="仿宋_GB2312" w:hAnsi="仿宋_GB2312" w:eastAsia="仿宋_GB2312" w:cs="仿宋_GB2312"/>
          <w:b/>
          <w:color w:val="000000" w:themeColor="text1"/>
          <w:sz w:val="32"/>
          <w:szCs w:val="32"/>
          <w:highlight w:val="none"/>
          <w14:textFill>
            <w14:solidFill>
              <w14:schemeClr w14:val="tx1"/>
            </w14:solidFill>
          </w14:textFill>
        </w:rPr>
        <w:t>18</w:t>
      </w:r>
      <w:r>
        <w:rPr>
          <w:rFonts w:ascii="仿宋_GB2312" w:hAnsi="仿宋_GB2312" w:eastAsia="仿宋_GB2312" w:cs="仿宋_GB2312"/>
          <w:b/>
          <w:color w:val="000000" w:themeColor="text1"/>
          <w:sz w:val="32"/>
          <w:szCs w:val="32"/>
          <w:highlight w:val="none"/>
          <w14:textFill>
            <w14:solidFill>
              <w14:schemeClr w14:val="tx1"/>
            </w14:solidFill>
          </w14:textFill>
        </w:rPr>
        <w:t>分</w:t>
      </w:r>
    </w:p>
    <w:p w14:paraId="7762A885">
      <w:pPr>
        <w:pStyle w:val="5"/>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服务商</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提供以往类似地方标准项目业绩（以提供合同书或协议书的复印件并加盖</w:t>
      </w:r>
      <w:r>
        <w:rPr>
          <w:rFonts w:hint="eastAsia" w:ascii="仿宋" w:hAnsi="仿宋" w:eastAsia="仿宋" w:cs="仿宋"/>
          <w:color w:val="000000" w:themeColor="text1"/>
          <w:sz w:val="28"/>
          <w:szCs w:val="28"/>
          <w:highlight w:val="none"/>
          <w:lang w:val="en-US" w:eastAsia="zh-CN"/>
          <w14:textFill>
            <w14:solidFill>
              <w14:schemeClr w14:val="tx1"/>
            </w14:solidFill>
          </w14:textFill>
        </w:rPr>
        <w:t>服务商</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公章为准），每个项目得3分，满分18分。</w:t>
      </w:r>
    </w:p>
    <w:p w14:paraId="72EDDB13">
      <w:pPr>
        <w:pStyle w:val="5"/>
        <w:spacing w:line="590" w:lineRule="exact"/>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总得分=</w:t>
      </w:r>
      <w:r>
        <w:rPr>
          <w:rFonts w:ascii="仿宋_GB2312" w:hAnsi="仿宋_GB2312" w:eastAsia="仿宋_GB2312" w:cs="仿宋_GB2312"/>
          <w:b/>
          <w:color w:val="000000" w:themeColor="text1"/>
          <w:sz w:val="32"/>
          <w:szCs w:val="32"/>
          <w:highlight w:val="none"/>
          <w:u w:val="single"/>
          <w14:textFill>
            <w14:solidFill>
              <w14:schemeClr w14:val="tx1"/>
            </w14:solidFill>
          </w14:textFill>
        </w:rPr>
        <w:t>（一） + （二） + （三） + （四） + （五）。</w:t>
      </w:r>
    </w:p>
    <w:p w14:paraId="2870B5FF">
      <w:pPr>
        <w:pStyle w:val="2"/>
        <w:rPr>
          <w:rFonts w:hint="eastAsia" w:ascii="仿宋" w:hAnsi="仿宋" w:eastAsia="仿宋" w:cs="仿宋"/>
          <w:color w:val="000000" w:themeColor="text1"/>
          <w:sz w:val="28"/>
          <w:szCs w:val="28"/>
          <w:highlight w:val="none"/>
          <w14:textFill>
            <w14:solidFill>
              <w14:schemeClr w14:val="tx1"/>
            </w14:solidFill>
          </w14:textFill>
        </w:rPr>
      </w:pPr>
    </w:p>
    <w:p w14:paraId="37269A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2A92B"/>
    <w:multiLevelType w:val="singleLevel"/>
    <w:tmpl w:val="AA62A92B"/>
    <w:lvl w:ilvl="0" w:tentative="0">
      <w:start w:val="1"/>
      <w:numFmt w:val="decimal"/>
      <w:lvlText w:val="%1."/>
      <w:lvlJc w:val="left"/>
      <w:pPr>
        <w:tabs>
          <w:tab w:val="left" w:pos="420"/>
        </w:tabs>
        <w:ind w:left="845" w:hanging="425"/>
      </w:pPr>
      <w:rPr>
        <w:rFonts w:hint="default"/>
      </w:rPr>
    </w:lvl>
  </w:abstractNum>
  <w:abstractNum w:abstractNumId="1">
    <w:nsid w:val="B723CFF0"/>
    <w:multiLevelType w:val="singleLevel"/>
    <w:tmpl w:val="B723CFF0"/>
    <w:lvl w:ilvl="0" w:tentative="0">
      <w:start w:val="1"/>
      <w:numFmt w:val="decimal"/>
      <w:lvlText w:val="(%1)"/>
      <w:lvlJc w:val="left"/>
      <w:pPr>
        <w:tabs>
          <w:tab w:val="left" w:pos="420"/>
        </w:tabs>
        <w:ind w:left="845" w:hanging="425"/>
      </w:pPr>
      <w:rPr>
        <w:rFonts w:hint="default"/>
      </w:rPr>
    </w:lvl>
  </w:abstractNum>
  <w:abstractNum w:abstractNumId="2">
    <w:nsid w:val="BD333409"/>
    <w:multiLevelType w:val="singleLevel"/>
    <w:tmpl w:val="BD333409"/>
    <w:lvl w:ilvl="0" w:tentative="0">
      <w:start w:val="2"/>
      <w:numFmt w:val="chineseCounting"/>
      <w:suff w:val="nothing"/>
      <w:lvlText w:val="（%1）"/>
      <w:lvlJc w:val="left"/>
      <w:rPr>
        <w:rFonts w:hint="eastAsia"/>
      </w:rPr>
    </w:lvl>
  </w:abstractNum>
  <w:abstractNum w:abstractNumId="3">
    <w:nsid w:val="D76D34C8"/>
    <w:multiLevelType w:val="singleLevel"/>
    <w:tmpl w:val="D76D34C8"/>
    <w:lvl w:ilvl="0" w:tentative="0">
      <w:start w:val="1"/>
      <w:numFmt w:val="decimal"/>
      <w:lvlText w:val="%1."/>
      <w:lvlJc w:val="left"/>
      <w:pPr>
        <w:tabs>
          <w:tab w:val="left" w:pos="420"/>
        </w:tabs>
        <w:ind w:left="845" w:hanging="425"/>
      </w:pPr>
      <w:rPr>
        <w:rFonts w:hint="default"/>
      </w:rPr>
    </w:lvl>
  </w:abstractNum>
  <w:abstractNum w:abstractNumId="4">
    <w:nsid w:val="DFECE6C8"/>
    <w:multiLevelType w:val="singleLevel"/>
    <w:tmpl w:val="DFECE6C8"/>
    <w:lvl w:ilvl="0" w:tentative="0">
      <w:start w:val="1"/>
      <w:numFmt w:val="chineseCounting"/>
      <w:suff w:val="nothing"/>
      <w:lvlText w:val="%1、"/>
      <w:lvlJc w:val="left"/>
      <w:pPr>
        <w:ind w:left="0" w:firstLine="420"/>
      </w:pPr>
      <w:rPr>
        <w:rFonts w:hint="eastAsia"/>
      </w:rPr>
    </w:lvl>
  </w:abstractNum>
  <w:abstractNum w:abstractNumId="5">
    <w:nsid w:val="E7D391FB"/>
    <w:multiLevelType w:val="singleLevel"/>
    <w:tmpl w:val="E7D391FB"/>
    <w:lvl w:ilvl="0" w:tentative="0">
      <w:start w:val="1"/>
      <w:numFmt w:val="decimal"/>
      <w:lvlText w:val="(%1)"/>
      <w:lvlJc w:val="left"/>
      <w:pPr>
        <w:tabs>
          <w:tab w:val="left" w:pos="420"/>
        </w:tabs>
        <w:ind w:left="845" w:hanging="425"/>
      </w:pPr>
      <w:rPr>
        <w:rFonts w:hint="default"/>
      </w:rPr>
    </w:lvl>
  </w:abstractNum>
  <w:abstractNum w:abstractNumId="6">
    <w:nsid w:val="F60278E0"/>
    <w:multiLevelType w:val="singleLevel"/>
    <w:tmpl w:val="F60278E0"/>
    <w:lvl w:ilvl="0" w:tentative="0">
      <w:start w:val="1"/>
      <w:numFmt w:val="chineseCounting"/>
      <w:suff w:val="nothing"/>
      <w:lvlText w:val="（%1）"/>
      <w:lvlJc w:val="left"/>
      <w:pPr>
        <w:ind w:left="0" w:firstLine="420"/>
      </w:pPr>
      <w:rPr>
        <w:rFonts w:hint="eastAsia"/>
      </w:rPr>
    </w:lvl>
  </w:abstractNum>
  <w:abstractNum w:abstractNumId="7">
    <w:nsid w:val="469040E9"/>
    <w:multiLevelType w:val="singleLevel"/>
    <w:tmpl w:val="469040E9"/>
    <w:lvl w:ilvl="0" w:tentative="0">
      <w:start w:val="1"/>
      <w:numFmt w:val="decimal"/>
      <w:lvlText w:val="(%1)"/>
      <w:lvlJc w:val="left"/>
      <w:pPr>
        <w:tabs>
          <w:tab w:val="left" w:pos="420"/>
        </w:tabs>
        <w:ind w:left="845" w:hanging="425"/>
      </w:pPr>
      <w:rPr>
        <w:rFonts w:hint="default"/>
      </w:rPr>
    </w:lvl>
  </w:abstractNum>
  <w:abstractNum w:abstractNumId="8">
    <w:nsid w:val="545E8740"/>
    <w:multiLevelType w:val="singleLevel"/>
    <w:tmpl w:val="545E8740"/>
    <w:lvl w:ilvl="0" w:tentative="0">
      <w:start w:val="1"/>
      <w:numFmt w:val="decimal"/>
      <w:lvlText w:val="%1."/>
      <w:lvlJc w:val="left"/>
      <w:pPr>
        <w:tabs>
          <w:tab w:val="left" w:pos="420"/>
        </w:tabs>
        <w:ind w:left="845" w:hanging="425"/>
      </w:pPr>
      <w:rPr>
        <w:rFonts w:hint="default"/>
      </w:rPr>
    </w:lvl>
  </w:abstractNum>
  <w:abstractNum w:abstractNumId="9">
    <w:nsid w:val="6039F4F2"/>
    <w:multiLevelType w:val="singleLevel"/>
    <w:tmpl w:val="6039F4F2"/>
    <w:lvl w:ilvl="0" w:tentative="0">
      <w:start w:val="1"/>
      <w:numFmt w:val="decimal"/>
      <w:suff w:val="space"/>
      <w:lvlText w:val="%1."/>
      <w:lvlJc w:val="left"/>
    </w:lvl>
  </w:abstractNum>
  <w:abstractNum w:abstractNumId="10">
    <w:nsid w:val="740BDAF3"/>
    <w:multiLevelType w:val="multilevel"/>
    <w:tmpl w:val="740BDAF3"/>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1">
    <w:nsid w:val="7FACAD81"/>
    <w:multiLevelType w:val="singleLevel"/>
    <w:tmpl w:val="7FACAD81"/>
    <w:lvl w:ilvl="0" w:tentative="0">
      <w:start w:val="1"/>
      <w:numFmt w:val="chineseCounting"/>
      <w:suff w:val="nothing"/>
      <w:lvlText w:val="（%1）"/>
      <w:lvlJc w:val="left"/>
      <w:rPr>
        <w:rFonts w:hint="eastAsia"/>
      </w:rPr>
    </w:lvl>
  </w:abstractNum>
  <w:num w:numId="1">
    <w:abstractNumId w:val="2"/>
  </w:num>
  <w:num w:numId="2">
    <w:abstractNumId w:val="10"/>
  </w:num>
  <w:num w:numId="3">
    <w:abstractNumId w:val="7"/>
  </w:num>
  <w:num w:numId="4">
    <w:abstractNumId w:val="5"/>
  </w:num>
  <w:num w:numId="5">
    <w:abstractNumId w:val="1"/>
  </w:num>
  <w:num w:numId="6">
    <w:abstractNumId w:val="6"/>
  </w:num>
  <w:num w:numId="7">
    <w:abstractNumId w:val="8"/>
  </w:num>
  <w:num w:numId="8">
    <w:abstractNumId w:val="0"/>
  </w:num>
  <w:num w:numId="9">
    <w:abstractNumId w:val="3"/>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25A9C"/>
    <w:rsid w:val="4B42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4">
    <w:name w:val="Plain Text"/>
    <w:basedOn w:val="1"/>
    <w:next w:val="3"/>
    <w:qFormat/>
    <w:uiPriority w:val="0"/>
    <w:rPr>
      <w:rFonts w:ascii="宋体" w:hAnsi="Courier New"/>
      <w:szCs w:val="20"/>
    </w:rPr>
  </w:style>
  <w:style w:type="paragraph" w:styleId="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customStyle="1" w:styleId="8">
    <w:name w:val="_Style 1"/>
    <w:basedOn w:val="1"/>
    <w:qFormat/>
    <w:uiPriority w:val="34"/>
    <w:pPr>
      <w:spacing w:line="560" w:lineRule="exact"/>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2025-04-03T10:07:00Z</dcterms:created>
  <dc:creator>秋秋</dc:creator>
  <cp:lastModifiedBy>秋秋</cp:lastModifiedBy>
  <dcterms:modified xsi:type="dcterms:W3CDTF">2025-04-03T10:07:36Z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9C81505068CE4E3D88715CDFB73546BE_11</vt:lpwstr>
  </property>
  <property fmtid="{D5CDD505-2E9C-101B-9397-08002B2CF9AE}" pid="4" name="KSOTemplateDocerSaveRecord">
    <vt:lpwstr>eyJoZGlkIjoiY2Q2MjU2MzMxMTIyNzIyYTQyZjg1OTZhMmRkYzhlY2QiLCJ1c2VySWQiOiI0MTcxNjY3MTMifQ==</vt:lpwstr>
  </property>
</Properties>
</file>