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57338">
      <w:pPr>
        <w:pStyle w:val="5"/>
        <w:jc w:val="center"/>
        <w:rPr>
          <w:rFonts w:hint="default" w:eastAsia="宋体"/>
          <w:b/>
          <w:bCs/>
          <w:sz w:val="40"/>
          <w:szCs w:val="40"/>
          <w:lang w:val="en-US" w:eastAsia="zh-CN"/>
        </w:rPr>
      </w:pPr>
      <w:r>
        <w:rPr>
          <w:rFonts w:hint="eastAsia"/>
          <w:b/>
          <w:bCs/>
          <w:sz w:val="40"/>
          <w:szCs w:val="40"/>
          <w:lang w:val="en-US" w:eastAsia="zh-CN"/>
        </w:rPr>
        <w:t>中山大学附属第一医院广西医院</w:t>
      </w:r>
      <w:r>
        <w:rPr>
          <w:rFonts w:hint="eastAsia"/>
          <w:b/>
          <w:bCs/>
          <w:sz w:val="40"/>
          <w:szCs w:val="40"/>
        </w:rPr>
        <w:t>网络安全服务需求</w:t>
      </w:r>
      <w:r>
        <w:rPr>
          <w:rFonts w:hint="eastAsia"/>
          <w:b/>
          <w:bCs/>
          <w:sz w:val="40"/>
          <w:szCs w:val="40"/>
          <w:lang w:val="en-US" w:eastAsia="zh-CN"/>
        </w:rPr>
        <w:t>文件及评分标准</w:t>
      </w:r>
    </w:p>
    <w:p w14:paraId="30A6D132">
      <w:pPr>
        <w:pStyle w:val="3"/>
        <w:jc w:val="center"/>
      </w:pPr>
      <w:bookmarkStart w:id="0" w:name="_Toc4588"/>
      <w:r>
        <w:rPr>
          <w:rFonts w:hint="eastAsia"/>
        </w:rPr>
        <w:t>服务</w:t>
      </w:r>
      <w:bookmarkEnd w:id="0"/>
      <w:r>
        <w:rPr>
          <w:rFonts w:hint="eastAsia"/>
        </w:rPr>
        <w:t>内容</w:t>
      </w:r>
    </w:p>
    <w:p w14:paraId="7D91F383">
      <w:pPr>
        <w:ind w:firstLine="420"/>
      </w:pPr>
      <w:r>
        <w:rPr>
          <w:rFonts w:hint="eastAsia"/>
        </w:rPr>
        <w:t>维保服务内容主要包括：</w:t>
      </w:r>
    </w:p>
    <w:p w14:paraId="28DCDC14">
      <w:pPr>
        <w:ind w:firstLine="420"/>
      </w:pPr>
      <w:r>
        <w:rPr>
          <w:rFonts w:hint="eastAsia"/>
        </w:rPr>
        <w:t>（1）提供7×24小时电话技术支持；对问题和投诉在1小时内给予回应；不能通过远程解决的问题需安排技术工程师4个小时内到达故障现场；24小时内未能完成故障修复的必须给出解决方案；48个小时内提供更换设备损坏的配件；</w:t>
      </w:r>
    </w:p>
    <w:p w14:paraId="12AA3BF8">
      <w:pPr>
        <w:ind w:firstLine="420"/>
      </w:pPr>
      <w:r>
        <w:rPr>
          <w:rFonts w:hint="eastAsia"/>
        </w:rPr>
        <w:t>（2）提供技术服务团队，为医院正常运行提供技术支持；</w:t>
      </w:r>
    </w:p>
    <w:p w14:paraId="5DC2D52A">
      <w:pPr>
        <w:ind w:firstLine="420"/>
      </w:pPr>
      <w:r>
        <w:rPr>
          <w:rFonts w:hint="eastAsia"/>
        </w:rPr>
        <w:t>（3）提供原厂备件先行更换服务，设备故障时，免费进行备件更换服务，且先寄好件到现场，更换后才将坏件回收；</w:t>
      </w:r>
    </w:p>
    <w:p w14:paraId="3C4C0DD4">
      <w:pPr>
        <w:ind w:firstLine="420"/>
      </w:pPr>
      <w:r>
        <w:rPr>
          <w:rFonts w:hint="eastAsia"/>
        </w:rPr>
        <w:t>（4）提供设备主机软件，软件补丁和更新软件版本程序；</w:t>
      </w:r>
    </w:p>
    <w:p w14:paraId="2B06DF97">
      <w:pPr>
        <w:ind w:firstLine="420"/>
      </w:pPr>
      <w:r>
        <w:rPr>
          <w:rFonts w:hint="eastAsia"/>
        </w:rPr>
        <w:t>（5）提供每年4次巡检服务，并提供巡检服务总结报告；</w:t>
      </w:r>
    </w:p>
    <w:p w14:paraId="14369E7D">
      <w:pPr>
        <w:ind w:firstLine="420"/>
      </w:pPr>
      <w:r>
        <w:rPr>
          <w:rFonts w:hint="eastAsia"/>
        </w:rPr>
        <w:t>（6）出现故障时提供专业方案评估、配置信息评审、日志专业工具诊断等支持；</w:t>
      </w:r>
    </w:p>
    <w:p w14:paraId="2DD13072">
      <w:pPr>
        <w:ind w:firstLine="480" w:firstLineChars="200"/>
      </w:pPr>
      <w:r>
        <w:rPr>
          <w:rFonts w:hint="eastAsia"/>
        </w:rPr>
        <w:t>（7）可根据医院要求，提供对应的服务培训。</w:t>
      </w:r>
    </w:p>
    <w:p w14:paraId="765CAAF0">
      <w:pPr>
        <w:pStyle w:val="3"/>
        <w:jc w:val="center"/>
      </w:pPr>
      <w:r>
        <w:rPr>
          <w:rFonts w:hint="eastAsia"/>
        </w:rPr>
        <w:t>服务需求清单</w:t>
      </w:r>
    </w:p>
    <w:p w14:paraId="33E42902">
      <w:pPr>
        <w:ind w:firstLine="420"/>
      </w:pPr>
      <w:r>
        <w:rPr>
          <w:rFonts w:hint="eastAsia" w:ascii="宋体" w:hAnsi="宋体" w:cs="宋体"/>
          <w:color w:val="000000"/>
          <w:kern w:val="0"/>
          <w:sz w:val="21"/>
          <w:szCs w:val="21"/>
        </w:rPr>
        <w:t>提供网络设备的软件升级服务1年，如软件补丁（BUG Fixes）、更新软件（Updates），进行软件版本的评估和风险分析，并保证升级后的系统能够稳定的运行。</w:t>
      </w:r>
    </w:p>
    <w:tbl>
      <w:tblPr>
        <w:tblStyle w:val="12"/>
        <w:tblW w:w="4765" w:type="pct"/>
        <w:tblInd w:w="-191" w:type="dxa"/>
        <w:tblLayout w:type="fixed"/>
        <w:tblCellMar>
          <w:top w:w="0" w:type="dxa"/>
          <w:left w:w="108" w:type="dxa"/>
          <w:bottom w:w="0" w:type="dxa"/>
          <w:right w:w="108" w:type="dxa"/>
        </w:tblCellMar>
      </w:tblPr>
      <w:tblGrid>
        <w:gridCol w:w="545"/>
        <w:gridCol w:w="1255"/>
        <w:gridCol w:w="978"/>
        <w:gridCol w:w="3194"/>
        <w:gridCol w:w="2150"/>
      </w:tblGrid>
      <w:tr w14:paraId="4149A5F5">
        <w:tblPrEx>
          <w:tblCellMar>
            <w:top w:w="0" w:type="dxa"/>
            <w:left w:w="108" w:type="dxa"/>
            <w:bottom w:w="0" w:type="dxa"/>
            <w:right w:w="108" w:type="dxa"/>
          </w:tblCellMar>
        </w:tblPrEx>
        <w:trPr>
          <w:trHeight w:val="566" w:hRule="atLeast"/>
        </w:trPr>
        <w:tc>
          <w:tcPr>
            <w:tcW w:w="335" w:type="pc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14:paraId="57C39327">
            <w:pPr>
              <w:widowControl/>
              <w:spacing w:line="240" w:lineRule="auto"/>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772" w:type="pct"/>
            <w:tcBorders>
              <w:top w:val="single" w:color="auto" w:sz="4" w:space="0"/>
              <w:left w:val="nil"/>
              <w:bottom w:val="single" w:color="auto" w:sz="4" w:space="0"/>
              <w:right w:val="single" w:color="auto" w:sz="4" w:space="0"/>
            </w:tcBorders>
            <w:shd w:val="clear" w:color="000000" w:fill="FFFFFF" w:themeFill="background1"/>
            <w:vAlign w:val="center"/>
          </w:tcPr>
          <w:p w14:paraId="161A9E98">
            <w:pPr>
              <w:widowControl/>
              <w:spacing w:line="240" w:lineRule="auto"/>
              <w:jc w:val="center"/>
              <w:rPr>
                <w:rFonts w:ascii="宋体" w:hAnsi="宋体" w:cs="宋体"/>
                <w:b/>
                <w:bCs/>
                <w:color w:val="000000"/>
                <w:kern w:val="0"/>
                <w:sz w:val="20"/>
                <w:szCs w:val="20"/>
              </w:rPr>
            </w:pPr>
            <w:r>
              <w:rPr>
                <w:rFonts w:hint="eastAsia" w:ascii="宋体" w:hAnsi="宋体" w:cs="宋体"/>
                <w:b/>
                <w:bCs/>
                <w:color w:val="000000"/>
                <w:kern w:val="0"/>
                <w:sz w:val="20"/>
                <w:szCs w:val="20"/>
              </w:rPr>
              <w:t>服务大类</w:t>
            </w:r>
          </w:p>
        </w:tc>
        <w:tc>
          <w:tcPr>
            <w:tcW w:w="602" w:type="pct"/>
            <w:tcBorders>
              <w:top w:val="single" w:color="auto" w:sz="4" w:space="0"/>
              <w:left w:val="nil"/>
              <w:bottom w:val="single" w:color="auto" w:sz="4" w:space="0"/>
              <w:right w:val="single" w:color="auto" w:sz="4" w:space="0"/>
            </w:tcBorders>
            <w:shd w:val="clear" w:color="000000" w:fill="FFFFFF" w:themeFill="background1"/>
            <w:vAlign w:val="center"/>
          </w:tcPr>
          <w:p w14:paraId="29D3D06C">
            <w:pPr>
              <w:widowControl/>
              <w:spacing w:line="240" w:lineRule="auto"/>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1966" w:type="pct"/>
            <w:tcBorders>
              <w:top w:val="single" w:color="auto" w:sz="4" w:space="0"/>
              <w:left w:val="nil"/>
              <w:bottom w:val="single" w:color="auto" w:sz="4" w:space="0"/>
              <w:right w:val="single" w:color="auto" w:sz="4" w:space="0"/>
            </w:tcBorders>
            <w:shd w:val="clear" w:color="000000" w:fill="FFFFFF" w:themeFill="background1"/>
            <w:vAlign w:val="center"/>
          </w:tcPr>
          <w:p w14:paraId="5BB68A03">
            <w:pPr>
              <w:widowControl/>
              <w:spacing w:line="240" w:lineRule="auto"/>
              <w:jc w:val="center"/>
              <w:rPr>
                <w:rFonts w:ascii="宋体" w:hAnsi="宋体" w:cs="宋体"/>
                <w:b/>
                <w:bCs/>
                <w:color w:val="000000"/>
                <w:kern w:val="0"/>
                <w:sz w:val="20"/>
                <w:szCs w:val="20"/>
              </w:rPr>
            </w:pPr>
            <w:r>
              <w:rPr>
                <w:rFonts w:hint="eastAsia" w:ascii="宋体" w:hAnsi="宋体" w:cs="宋体"/>
                <w:b/>
                <w:bCs/>
                <w:color w:val="000000"/>
                <w:kern w:val="0"/>
                <w:sz w:val="20"/>
                <w:szCs w:val="20"/>
              </w:rPr>
              <w:t>类型</w:t>
            </w:r>
          </w:p>
        </w:tc>
        <w:tc>
          <w:tcPr>
            <w:tcW w:w="1323" w:type="pct"/>
            <w:tcBorders>
              <w:top w:val="single" w:color="auto" w:sz="4" w:space="0"/>
              <w:left w:val="nil"/>
              <w:bottom w:val="single" w:color="auto" w:sz="4" w:space="0"/>
              <w:right w:val="single" w:color="auto" w:sz="4" w:space="0"/>
            </w:tcBorders>
            <w:shd w:val="clear" w:color="000000" w:fill="FFFFFF" w:themeFill="background1"/>
            <w:vAlign w:val="center"/>
          </w:tcPr>
          <w:p w14:paraId="297EBDE4">
            <w:pPr>
              <w:widowControl/>
              <w:spacing w:line="240" w:lineRule="auto"/>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14:paraId="53FEDB9F">
        <w:tblPrEx>
          <w:tblCellMar>
            <w:top w:w="0" w:type="dxa"/>
            <w:left w:w="108" w:type="dxa"/>
            <w:bottom w:w="0" w:type="dxa"/>
            <w:right w:w="108" w:type="dxa"/>
          </w:tblCellMar>
        </w:tblPrEx>
        <w:trPr>
          <w:trHeight w:val="9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14:paraId="54589617">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1</w:t>
            </w:r>
          </w:p>
        </w:tc>
        <w:tc>
          <w:tcPr>
            <w:tcW w:w="772" w:type="pct"/>
            <w:tcBorders>
              <w:top w:val="nil"/>
              <w:left w:val="nil"/>
              <w:bottom w:val="single" w:color="auto" w:sz="4" w:space="0"/>
              <w:right w:val="single" w:color="auto" w:sz="4" w:space="0"/>
            </w:tcBorders>
            <w:shd w:val="clear" w:color="auto" w:fill="auto"/>
            <w:vAlign w:val="center"/>
          </w:tcPr>
          <w:p w14:paraId="34EA36FE">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SDN</w:t>
            </w:r>
            <w:r>
              <w:rPr>
                <w:rFonts w:ascii="宋体" w:hAnsi="宋体" w:cs="宋体"/>
                <w:color w:val="000000"/>
                <w:kern w:val="0"/>
                <w:sz w:val="20"/>
                <w:szCs w:val="20"/>
              </w:rPr>
              <w:t xml:space="preserve"> </w:t>
            </w:r>
          </w:p>
        </w:tc>
        <w:tc>
          <w:tcPr>
            <w:tcW w:w="602" w:type="pct"/>
            <w:tcBorders>
              <w:top w:val="nil"/>
              <w:left w:val="nil"/>
              <w:bottom w:val="single" w:color="auto" w:sz="4" w:space="0"/>
              <w:right w:val="single" w:color="auto" w:sz="4" w:space="0"/>
            </w:tcBorders>
            <w:shd w:val="clear" w:color="auto" w:fill="auto"/>
            <w:vAlign w:val="center"/>
          </w:tcPr>
          <w:p w14:paraId="44DB75A0">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1套/年</w:t>
            </w:r>
          </w:p>
        </w:tc>
        <w:tc>
          <w:tcPr>
            <w:tcW w:w="1966" w:type="pct"/>
            <w:tcBorders>
              <w:top w:val="nil"/>
              <w:left w:val="nil"/>
              <w:bottom w:val="single" w:color="auto" w:sz="4" w:space="0"/>
              <w:right w:val="single" w:color="auto" w:sz="4" w:space="0"/>
            </w:tcBorders>
            <w:shd w:val="clear" w:color="auto" w:fill="auto"/>
            <w:vAlign w:val="center"/>
          </w:tcPr>
          <w:p w14:paraId="0FCD1229">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LIS-SNACenter-Basic</w:t>
            </w:r>
          </w:p>
        </w:tc>
        <w:tc>
          <w:tcPr>
            <w:tcW w:w="1323" w:type="pct"/>
            <w:tcBorders>
              <w:top w:val="nil"/>
              <w:left w:val="nil"/>
              <w:bottom w:val="single" w:color="auto" w:sz="4" w:space="0"/>
              <w:right w:val="single" w:color="auto" w:sz="4" w:space="0"/>
            </w:tcBorders>
            <w:shd w:val="clear" w:color="auto" w:fill="auto"/>
            <w:vAlign w:val="center"/>
          </w:tcPr>
          <w:p w14:paraId="6818B39A">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永远授权和一年软件升级服务</w:t>
            </w:r>
          </w:p>
        </w:tc>
      </w:tr>
      <w:tr w14:paraId="76FAB6B3">
        <w:tblPrEx>
          <w:tblCellMar>
            <w:top w:w="0" w:type="dxa"/>
            <w:left w:w="108" w:type="dxa"/>
            <w:bottom w:w="0" w:type="dxa"/>
            <w:right w:w="108" w:type="dxa"/>
          </w:tblCellMar>
        </w:tblPrEx>
        <w:trPr>
          <w:trHeight w:val="480" w:hRule="atLeast"/>
        </w:trPr>
        <w:tc>
          <w:tcPr>
            <w:tcW w:w="3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4EE474">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2</w:t>
            </w:r>
          </w:p>
        </w:tc>
        <w:tc>
          <w:tcPr>
            <w:tcW w:w="772" w:type="pct"/>
            <w:tcBorders>
              <w:top w:val="single" w:color="auto" w:sz="4" w:space="0"/>
              <w:left w:val="nil"/>
              <w:bottom w:val="single" w:color="auto" w:sz="4" w:space="0"/>
              <w:right w:val="single" w:color="auto" w:sz="4" w:space="0"/>
            </w:tcBorders>
            <w:shd w:val="clear" w:color="auto" w:fill="auto"/>
            <w:vAlign w:val="center"/>
          </w:tcPr>
          <w:p w14:paraId="3FEA8D14">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IMC网管软件</w:t>
            </w:r>
          </w:p>
        </w:tc>
        <w:tc>
          <w:tcPr>
            <w:tcW w:w="602" w:type="pct"/>
            <w:tcBorders>
              <w:top w:val="single" w:color="auto" w:sz="4" w:space="0"/>
              <w:left w:val="nil"/>
              <w:bottom w:val="single" w:color="auto" w:sz="4" w:space="0"/>
              <w:right w:val="single" w:color="auto" w:sz="4" w:space="0"/>
            </w:tcBorders>
            <w:shd w:val="clear" w:color="auto" w:fill="auto"/>
            <w:vAlign w:val="center"/>
          </w:tcPr>
          <w:p w14:paraId="21A8079B">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1套/年</w:t>
            </w:r>
          </w:p>
        </w:tc>
        <w:tc>
          <w:tcPr>
            <w:tcW w:w="1966" w:type="pct"/>
            <w:tcBorders>
              <w:top w:val="single" w:color="auto" w:sz="4" w:space="0"/>
              <w:left w:val="nil"/>
              <w:bottom w:val="single" w:color="auto" w:sz="4" w:space="0"/>
              <w:right w:val="single" w:color="auto" w:sz="4" w:space="0"/>
            </w:tcBorders>
            <w:shd w:val="clear" w:color="auto" w:fill="auto"/>
            <w:vAlign w:val="center"/>
          </w:tcPr>
          <w:p w14:paraId="3EB59667">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IMC网管软件</w:t>
            </w:r>
          </w:p>
        </w:tc>
        <w:tc>
          <w:tcPr>
            <w:tcW w:w="1323" w:type="pct"/>
            <w:tcBorders>
              <w:top w:val="single" w:color="auto" w:sz="4" w:space="0"/>
              <w:left w:val="nil"/>
              <w:bottom w:val="single" w:color="auto" w:sz="4" w:space="0"/>
              <w:right w:val="single" w:color="auto" w:sz="4" w:space="0"/>
            </w:tcBorders>
            <w:shd w:val="clear" w:color="auto" w:fill="auto"/>
            <w:vAlign w:val="center"/>
          </w:tcPr>
          <w:p w14:paraId="113E9601">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永远授权和一年升级服务</w:t>
            </w:r>
          </w:p>
        </w:tc>
      </w:tr>
      <w:tr w14:paraId="529A8395">
        <w:tblPrEx>
          <w:tblCellMar>
            <w:top w:w="0" w:type="dxa"/>
            <w:left w:w="108" w:type="dxa"/>
            <w:bottom w:w="0" w:type="dxa"/>
            <w:right w:w="108" w:type="dxa"/>
          </w:tblCellMar>
        </w:tblPrEx>
        <w:trPr>
          <w:trHeight w:val="480" w:hRule="atLeast"/>
        </w:trPr>
        <w:tc>
          <w:tcPr>
            <w:tcW w:w="3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D62EE2">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3</w:t>
            </w:r>
          </w:p>
        </w:tc>
        <w:tc>
          <w:tcPr>
            <w:tcW w:w="772" w:type="pct"/>
            <w:tcBorders>
              <w:top w:val="single" w:color="auto" w:sz="4" w:space="0"/>
              <w:left w:val="nil"/>
              <w:bottom w:val="single" w:color="auto" w:sz="4" w:space="0"/>
              <w:right w:val="single" w:color="auto" w:sz="4" w:space="0"/>
            </w:tcBorders>
            <w:shd w:val="clear" w:color="auto" w:fill="auto"/>
            <w:vAlign w:val="center"/>
          </w:tcPr>
          <w:p w14:paraId="6075FD43">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数据库防火墙</w:t>
            </w:r>
          </w:p>
        </w:tc>
        <w:tc>
          <w:tcPr>
            <w:tcW w:w="602" w:type="pct"/>
            <w:tcBorders>
              <w:top w:val="single" w:color="auto" w:sz="4" w:space="0"/>
              <w:left w:val="nil"/>
              <w:bottom w:val="single" w:color="auto" w:sz="4" w:space="0"/>
              <w:right w:val="single" w:color="auto" w:sz="4" w:space="0"/>
            </w:tcBorders>
            <w:shd w:val="clear" w:color="auto" w:fill="auto"/>
            <w:vAlign w:val="center"/>
          </w:tcPr>
          <w:p w14:paraId="42A29E1F">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1台/年</w:t>
            </w:r>
          </w:p>
        </w:tc>
        <w:tc>
          <w:tcPr>
            <w:tcW w:w="1966" w:type="pct"/>
            <w:tcBorders>
              <w:top w:val="single" w:color="auto" w:sz="4" w:space="0"/>
              <w:left w:val="nil"/>
              <w:bottom w:val="single" w:color="auto" w:sz="4" w:space="0"/>
              <w:right w:val="single" w:color="auto" w:sz="4" w:space="0"/>
            </w:tcBorders>
            <w:shd w:val="clear" w:color="auto" w:fill="auto"/>
            <w:vAlign w:val="center"/>
          </w:tcPr>
          <w:p w14:paraId="5E697619">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F1090</w:t>
            </w:r>
          </w:p>
        </w:tc>
        <w:tc>
          <w:tcPr>
            <w:tcW w:w="1323" w:type="pct"/>
            <w:tcBorders>
              <w:top w:val="single" w:color="auto" w:sz="4" w:space="0"/>
              <w:left w:val="nil"/>
              <w:bottom w:val="single" w:color="auto" w:sz="4" w:space="0"/>
              <w:right w:val="single" w:color="auto" w:sz="4" w:space="0"/>
            </w:tcBorders>
            <w:shd w:val="clear" w:color="auto" w:fill="auto"/>
            <w:vAlign w:val="center"/>
          </w:tcPr>
          <w:p w14:paraId="15DC1C4A">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包含安全授权升级和一年软件升级服务</w:t>
            </w:r>
          </w:p>
        </w:tc>
      </w:tr>
      <w:tr w14:paraId="68307813">
        <w:tblPrEx>
          <w:tblCellMar>
            <w:top w:w="0" w:type="dxa"/>
            <w:left w:w="108" w:type="dxa"/>
            <w:bottom w:w="0" w:type="dxa"/>
            <w:right w:w="108" w:type="dxa"/>
          </w:tblCellMar>
        </w:tblPrEx>
        <w:trPr>
          <w:trHeight w:val="720" w:hRule="atLeast"/>
        </w:trPr>
        <w:tc>
          <w:tcPr>
            <w:tcW w:w="3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735AA2">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4</w:t>
            </w:r>
          </w:p>
        </w:tc>
        <w:tc>
          <w:tcPr>
            <w:tcW w:w="772" w:type="pct"/>
            <w:tcBorders>
              <w:top w:val="single" w:color="auto" w:sz="4" w:space="0"/>
              <w:left w:val="nil"/>
              <w:bottom w:val="single" w:color="auto" w:sz="4" w:space="0"/>
              <w:right w:val="single" w:color="auto" w:sz="4" w:space="0"/>
            </w:tcBorders>
            <w:shd w:val="clear" w:color="auto" w:fill="auto"/>
            <w:vAlign w:val="center"/>
          </w:tcPr>
          <w:p w14:paraId="2BD3450F">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 xml:space="preserve">安全网关 </w:t>
            </w:r>
          </w:p>
        </w:tc>
        <w:tc>
          <w:tcPr>
            <w:tcW w:w="602" w:type="pct"/>
            <w:tcBorders>
              <w:top w:val="single" w:color="auto" w:sz="4" w:space="0"/>
              <w:left w:val="nil"/>
              <w:bottom w:val="single" w:color="auto" w:sz="4" w:space="0"/>
              <w:right w:val="single" w:color="auto" w:sz="4" w:space="0"/>
            </w:tcBorders>
            <w:shd w:val="clear" w:color="auto" w:fill="auto"/>
            <w:vAlign w:val="center"/>
          </w:tcPr>
          <w:p w14:paraId="2162AC85">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1台/年</w:t>
            </w:r>
          </w:p>
        </w:tc>
        <w:tc>
          <w:tcPr>
            <w:tcW w:w="1966" w:type="pct"/>
            <w:tcBorders>
              <w:top w:val="single" w:color="auto" w:sz="4" w:space="0"/>
              <w:left w:val="nil"/>
              <w:bottom w:val="single" w:color="auto" w:sz="4" w:space="0"/>
              <w:right w:val="single" w:color="auto" w:sz="4" w:space="0"/>
            </w:tcBorders>
            <w:shd w:val="clear" w:color="auto" w:fill="auto"/>
            <w:vAlign w:val="center"/>
          </w:tcPr>
          <w:p w14:paraId="4769D25C">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NS-SecPath F5060-D</w:t>
            </w:r>
          </w:p>
        </w:tc>
        <w:tc>
          <w:tcPr>
            <w:tcW w:w="1323" w:type="pct"/>
            <w:tcBorders>
              <w:top w:val="single" w:color="auto" w:sz="4" w:space="0"/>
              <w:left w:val="nil"/>
              <w:bottom w:val="single" w:color="auto" w:sz="4" w:space="0"/>
              <w:right w:val="single" w:color="auto" w:sz="4" w:space="0"/>
            </w:tcBorders>
            <w:shd w:val="clear" w:color="auto" w:fill="auto"/>
            <w:vAlign w:val="center"/>
          </w:tcPr>
          <w:p w14:paraId="7032A645">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含特征库、病毒库升级、安全授权升级</w:t>
            </w:r>
          </w:p>
        </w:tc>
      </w:tr>
      <w:tr w14:paraId="7E83BA8F">
        <w:tblPrEx>
          <w:tblCellMar>
            <w:top w:w="0" w:type="dxa"/>
            <w:left w:w="108" w:type="dxa"/>
            <w:bottom w:w="0" w:type="dxa"/>
            <w:right w:w="108" w:type="dxa"/>
          </w:tblCellMar>
        </w:tblPrEx>
        <w:trPr>
          <w:trHeight w:val="960" w:hRule="atLeast"/>
        </w:trPr>
        <w:tc>
          <w:tcPr>
            <w:tcW w:w="3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BDA36E">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5</w:t>
            </w:r>
          </w:p>
        </w:tc>
        <w:tc>
          <w:tcPr>
            <w:tcW w:w="772" w:type="pct"/>
            <w:tcBorders>
              <w:top w:val="single" w:color="auto" w:sz="4" w:space="0"/>
              <w:left w:val="nil"/>
              <w:bottom w:val="single" w:color="auto" w:sz="4" w:space="0"/>
              <w:right w:val="single" w:color="auto" w:sz="4" w:space="0"/>
            </w:tcBorders>
            <w:shd w:val="clear" w:color="auto" w:fill="auto"/>
            <w:vAlign w:val="center"/>
          </w:tcPr>
          <w:p w14:paraId="755503BC">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上网行为管理</w:t>
            </w:r>
          </w:p>
        </w:tc>
        <w:tc>
          <w:tcPr>
            <w:tcW w:w="602" w:type="pct"/>
            <w:tcBorders>
              <w:top w:val="single" w:color="auto" w:sz="4" w:space="0"/>
              <w:left w:val="nil"/>
              <w:bottom w:val="single" w:color="auto" w:sz="4" w:space="0"/>
              <w:right w:val="single" w:color="auto" w:sz="4" w:space="0"/>
            </w:tcBorders>
            <w:shd w:val="clear" w:color="auto" w:fill="auto"/>
            <w:vAlign w:val="center"/>
          </w:tcPr>
          <w:p w14:paraId="4F449008">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1台/年</w:t>
            </w:r>
          </w:p>
        </w:tc>
        <w:tc>
          <w:tcPr>
            <w:tcW w:w="1966" w:type="pct"/>
            <w:tcBorders>
              <w:top w:val="single" w:color="auto" w:sz="4" w:space="0"/>
              <w:left w:val="nil"/>
              <w:bottom w:val="single" w:color="auto" w:sz="4" w:space="0"/>
              <w:right w:val="single" w:color="auto" w:sz="4" w:space="0"/>
            </w:tcBorders>
            <w:shd w:val="clear" w:color="auto" w:fill="auto"/>
            <w:vAlign w:val="center"/>
          </w:tcPr>
          <w:p w14:paraId="1A9978EB">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NS-SecPath ACG1000-ME</w:t>
            </w:r>
          </w:p>
        </w:tc>
        <w:tc>
          <w:tcPr>
            <w:tcW w:w="1323" w:type="pct"/>
            <w:tcBorders>
              <w:top w:val="single" w:color="auto" w:sz="4" w:space="0"/>
              <w:left w:val="nil"/>
              <w:bottom w:val="single" w:color="auto" w:sz="4" w:space="0"/>
              <w:right w:val="single" w:color="auto" w:sz="4" w:space="0"/>
            </w:tcBorders>
            <w:shd w:val="clear" w:color="auto" w:fill="auto"/>
            <w:vAlign w:val="center"/>
          </w:tcPr>
          <w:p w14:paraId="12DC5396">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含安全授权服务</w:t>
            </w:r>
          </w:p>
        </w:tc>
      </w:tr>
      <w:tr w14:paraId="064CEC9B">
        <w:tblPrEx>
          <w:tblCellMar>
            <w:top w:w="0" w:type="dxa"/>
            <w:left w:w="108" w:type="dxa"/>
            <w:bottom w:w="0" w:type="dxa"/>
            <w:right w:w="108" w:type="dxa"/>
          </w:tblCellMar>
        </w:tblPrEx>
        <w:trPr>
          <w:trHeight w:val="7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14:paraId="6F4099A5">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6</w:t>
            </w:r>
          </w:p>
        </w:tc>
        <w:tc>
          <w:tcPr>
            <w:tcW w:w="772" w:type="pct"/>
            <w:tcBorders>
              <w:top w:val="nil"/>
              <w:left w:val="nil"/>
              <w:bottom w:val="single" w:color="auto" w:sz="4" w:space="0"/>
              <w:right w:val="single" w:color="auto" w:sz="4" w:space="0"/>
            </w:tcBorders>
            <w:shd w:val="clear" w:color="auto" w:fill="auto"/>
            <w:vAlign w:val="center"/>
          </w:tcPr>
          <w:p w14:paraId="0CC0D79E">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互联网出口：H3C SecPath F1060 防火墙</w:t>
            </w:r>
          </w:p>
        </w:tc>
        <w:tc>
          <w:tcPr>
            <w:tcW w:w="602" w:type="pct"/>
            <w:tcBorders>
              <w:top w:val="nil"/>
              <w:left w:val="nil"/>
              <w:bottom w:val="single" w:color="auto" w:sz="4" w:space="0"/>
              <w:right w:val="single" w:color="auto" w:sz="4" w:space="0"/>
            </w:tcBorders>
            <w:shd w:val="clear" w:color="auto" w:fill="auto"/>
            <w:vAlign w:val="center"/>
          </w:tcPr>
          <w:p w14:paraId="16008531">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1台/年</w:t>
            </w:r>
          </w:p>
        </w:tc>
        <w:tc>
          <w:tcPr>
            <w:tcW w:w="1966" w:type="pct"/>
            <w:tcBorders>
              <w:top w:val="nil"/>
              <w:left w:val="nil"/>
              <w:bottom w:val="single" w:color="auto" w:sz="4" w:space="0"/>
              <w:right w:val="single" w:color="auto" w:sz="4" w:space="0"/>
            </w:tcBorders>
            <w:shd w:val="clear" w:color="auto" w:fill="auto"/>
            <w:vAlign w:val="center"/>
          </w:tcPr>
          <w:p w14:paraId="40BFE9E5">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NS-SecPath F1060</w:t>
            </w:r>
          </w:p>
        </w:tc>
        <w:tc>
          <w:tcPr>
            <w:tcW w:w="1323" w:type="pct"/>
            <w:tcBorders>
              <w:top w:val="nil"/>
              <w:left w:val="nil"/>
              <w:bottom w:val="single" w:color="auto" w:sz="4" w:space="0"/>
              <w:right w:val="single" w:color="auto" w:sz="4" w:space="0"/>
            </w:tcBorders>
            <w:shd w:val="clear" w:color="auto" w:fill="auto"/>
            <w:vAlign w:val="center"/>
          </w:tcPr>
          <w:p w14:paraId="2DD725FC">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含特征库、病毒库升级，已包含安全授权升级</w:t>
            </w:r>
          </w:p>
        </w:tc>
      </w:tr>
      <w:tr w14:paraId="4CAEBDBD">
        <w:tblPrEx>
          <w:tblCellMar>
            <w:top w:w="0" w:type="dxa"/>
            <w:left w:w="108" w:type="dxa"/>
            <w:bottom w:w="0" w:type="dxa"/>
            <w:right w:w="108" w:type="dxa"/>
          </w:tblCellMar>
        </w:tblPrEx>
        <w:trPr>
          <w:trHeight w:val="96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14:paraId="1D7B2A36">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7</w:t>
            </w:r>
          </w:p>
        </w:tc>
        <w:tc>
          <w:tcPr>
            <w:tcW w:w="772" w:type="pct"/>
            <w:tcBorders>
              <w:top w:val="nil"/>
              <w:left w:val="nil"/>
              <w:bottom w:val="single" w:color="auto" w:sz="4" w:space="0"/>
              <w:right w:val="single" w:color="auto" w:sz="4" w:space="0"/>
            </w:tcBorders>
            <w:shd w:val="clear" w:color="auto" w:fill="auto"/>
            <w:vAlign w:val="center"/>
          </w:tcPr>
          <w:p w14:paraId="4BF62285">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 xml:space="preserve">综合日志审计平台 </w:t>
            </w:r>
          </w:p>
        </w:tc>
        <w:tc>
          <w:tcPr>
            <w:tcW w:w="602" w:type="pct"/>
            <w:tcBorders>
              <w:top w:val="nil"/>
              <w:left w:val="nil"/>
              <w:bottom w:val="single" w:color="auto" w:sz="4" w:space="0"/>
              <w:right w:val="single" w:color="auto" w:sz="4" w:space="0"/>
            </w:tcBorders>
            <w:shd w:val="clear" w:color="auto" w:fill="auto"/>
            <w:vAlign w:val="center"/>
          </w:tcPr>
          <w:p w14:paraId="33F48143">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1台/年</w:t>
            </w:r>
          </w:p>
        </w:tc>
        <w:tc>
          <w:tcPr>
            <w:tcW w:w="1966" w:type="pct"/>
            <w:tcBorders>
              <w:top w:val="nil"/>
              <w:left w:val="nil"/>
              <w:bottom w:val="single" w:color="auto" w:sz="4" w:space="0"/>
              <w:right w:val="single" w:color="auto" w:sz="4" w:space="0"/>
            </w:tcBorders>
            <w:shd w:val="clear" w:color="auto" w:fill="auto"/>
            <w:vAlign w:val="center"/>
          </w:tcPr>
          <w:p w14:paraId="195C4A23">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NS-SecCenter CSAP-SA-M</w:t>
            </w:r>
          </w:p>
        </w:tc>
        <w:tc>
          <w:tcPr>
            <w:tcW w:w="1323" w:type="pct"/>
            <w:tcBorders>
              <w:top w:val="nil"/>
              <w:left w:val="nil"/>
              <w:bottom w:val="single" w:color="auto" w:sz="4" w:space="0"/>
              <w:right w:val="single" w:color="auto" w:sz="4" w:space="0"/>
            </w:tcBorders>
            <w:shd w:val="clear" w:color="auto" w:fill="auto"/>
            <w:vAlign w:val="center"/>
          </w:tcPr>
          <w:p w14:paraId="46338809">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永远授权和一年软件升级</w:t>
            </w:r>
          </w:p>
        </w:tc>
      </w:tr>
      <w:tr w14:paraId="5AEFB496">
        <w:tblPrEx>
          <w:tblCellMar>
            <w:top w:w="0" w:type="dxa"/>
            <w:left w:w="108" w:type="dxa"/>
            <w:bottom w:w="0" w:type="dxa"/>
            <w:right w:w="108" w:type="dxa"/>
          </w:tblCellMar>
        </w:tblPrEx>
        <w:trPr>
          <w:trHeight w:val="48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14:paraId="55A8714B">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8</w:t>
            </w:r>
          </w:p>
        </w:tc>
        <w:tc>
          <w:tcPr>
            <w:tcW w:w="772" w:type="pct"/>
            <w:tcBorders>
              <w:top w:val="nil"/>
              <w:left w:val="nil"/>
              <w:bottom w:val="single" w:color="auto" w:sz="4" w:space="0"/>
              <w:right w:val="single" w:color="auto" w:sz="4" w:space="0"/>
            </w:tcBorders>
            <w:shd w:val="clear" w:color="auto" w:fill="auto"/>
            <w:vAlign w:val="center"/>
          </w:tcPr>
          <w:p w14:paraId="26955543">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无线控制器</w:t>
            </w:r>
          </w:p>
        </w:tc>
        <w:tc>
          <w:tcPr>
            <w:tcW w:w="602" w:type="pct"/>
            <w:tcBorders>
              <w:top w:val="nil"/>
              <w:left w:val="nil"/>
              <w:bottom w:val="single" w:color="auto" w:sz="4" w:space="0"/>
              <w:right w:val="single" w:color="auto" w:sz="4" w:space="0"/>
            </w:tcBorders>
            <w:shd w:val="clear" w:color="auto" w:fill="auto"/>
            <w:vAlign w:val="center"/>
          </w:tcPr>
          <w:p w14:paraId="5C900545">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1台/年</w:t>
            </w:r>
          </w:p>
        </w:tc>
        <w:tc>
          <w:tcPr>
            <w:tcW w:w="1966" w:type="pct"/>
            <w:tcBorders>
              <w:top w:val="nil"/>
              <w:left w:val="nil"/>
              <w:bottom w:val="single" w:color="auto" w:sz="4" w:space="0"/>
              <w:right w:val="single" w:color="auto" w:sz="4" w:space="0"/>
            </w:tcBorders>
            <w:shd w:val="clear" w:color="auto" w:fill="auto"/>
            <w:vAlign w:val="center"/>
          </w:tcPr>
          <w:p w14:paraId="3B63D37E">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WX3540H</w:t>
            </w:r>
          </w:p>
        </w:tc>
        <w:tc>
          <w:tcPr>
            <w:tcW w:w="1323" w:type="pct"/>
            <w:tcBorders>
              <w:top w:val="nil"/>
              <w:left w:val="nil"/>
              <w:bottom w:val="single" w:color="auto" w:sz="4" w:space="0"/>
              <w:right w:val="single" w:color="auto" w:sz="4" w:space="0"/>
            </w:tcBorders>
            <w:shd w:val="clear" w:color="auto" w:fill="auto"/>
            <w:vAlign w:val="center"/>
          </w:tcPr>
          <w:p w14:paraId="093BE6E5">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永远授权和一年软件升级</w:t>
            </w:r>
          </w:p>
        </w:tc>
      </w:tr>
      <w:tr w14:paraId="1D74F185">
        <w:tblPrEx>
          <w:tblCellMar>
            <w:top w:w="0" w:type="dxa"/>
            <w:left w:w="108" w:type="dxa"/>
            <w:bottom w:w="0" w:type="dxa"/>
            <w:right w:w="108" w:type="dxa"/>
          </w:tblCellMar>
        </w:tblPrEx>
        <w:trPr>
          <w:trHeight w:val="7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14:paraId="10A0D1FA">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9</w:t>
            </w:r>
          </w:p>
        </w:tc>
        <w:tc>
          <w:tcPr>
            <w:tcW w:w="772" w:type="pct"/>
            <w:tcBorders>
              <w:top w:val="nil"/>
              <w:left w:val="nil"/>
              <w:bottom w:val="single" w:color="auto" w:sz="4" w:space="0"/>
              <w:right w:val="single" w:color="auto" w:sz="4" w:space="0"/>
            </w:tcBorders>
            <w:shd w:val="clear" w:color="auto" w:fill="auto"/>
            <w:vAlign w:val="center"/>
          </w:tcPr>
          <w:p w14:paraId="2D9EBD9A">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数据库审计系统</w:t>
            </w:r>
          </w:p>
        </w:tc>
        <w:tc>
          <w:tcPr>
            <w:tcW w:w="602" w:type="pct"/>
            <w:tcBorders>
              <w:top w:val="nil"/>
              <w:left w:val="nil"/>
              <w:bottom w:val="single" w:color="auto" w:sz="4" w:space="0"/>
              <w:right w:val="single" w:color="auto" w:sz="4" w:space="0"/>
            </w:tcBorders>
            <w:shd w:val="clear" w:color="auto" w:fill="auto"/>
            <w:vAlign w:val="center"/>
          </w:tcPr>
          <w:p w14:paraId="657B99D2">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1台/年</w:t>
            </w:r>
          </w:p>
        </w:tc>
        <w:tc>
          <w:tcPr>
            <w:tcW w:w="1966" w:type="pct"/>
            <w:tcBorders>
              <w:top w:val="nil"/>
              <w:left w:val="nil"/>
              <w:bottom w:val="single" w:color="auto" w:sz="4" w:space="0"/>
              <w:right w:val="single" w:color="auto" w:sz="4" w:space="0"/>
            </w:tcBorders>
            <w:shd w:val="clear" w:color="auto" w:fill="auto"/>
            <w:vAlign w:val="center"/>
          </w:tcPr>
          <w:p w14:paraId="2F3789AB">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NS-SecPath D2020-G</w:t>
            </w:r>
          </w:p>
        </w:tc>
        <w:tc>
          <w:tcPr>
            <w:tcW w:w="1323" w:type="pct"/>
            <w:tcBorders>
              <w:top w:val="nil"/>
              <w:left w:val="nil"/>
              <w:bottom w:val="single" w:color="auto" w:sz="4" w:space="0"/>
              <w:right w:val="single" w:color="auto" w:sz="4" w:space="0"/>
            </w:tcBorders>
            <w:shd w:val="clear" w:color="auto" w:fill="auto"/>
            <w:vAlign w:val="center"/>
          </w:tcPr>
          <w:p w14:paraId="52C39F3E">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永远授权和一年软件升级</w:t>
            </w:r>
          </w:p>
        </w:tc>
      </w:tr>
      <w:tr w14:paraId="2AB7BEE9">
        <w:tblPrEx>
          <w:tblCellMar>
            <w:top w:w="0" w:type="dxa"/>
            <w:left w:w="108" w:type="dxa"/>
            <w:bottom w:w="0" w:type="dxa"/>
            <w:right w:w="108" w:type="dxa"/>
          </w:tblCellMar>
        </w:tblPrEx>
        <w:trPr>
          <w:trHeight w:val="48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14:paraId="2A8BBAC8">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10</w:t>
            </w:r>
          </w:p>
        </w:tc>
        <w:tc>
          <w:tcPr>
            <w:tcW w:w="772" w:type="pct"/>
            <w:tcBorders>
              <w:top w:val="nil"/>
              <w:left w:val="nil"/>
              <w:bottom w:val="single" w:color="auto" w:sz="4" w:space="0"/>
              <w:right w:val="single" w:color="auto" w:sz="4" w:space="0"/>
            </w:tcBorders>
            <w:shd w:val="clear" w:color="auto" w:fill="auto"/>
            <w:vAlign w:val="center"/>
          </w:tcPr>
          <w:p w14:paraId="14A46381">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接入交换机</w:t>
            </w:r>
          </w:p>
        </w:tc>
        <w:tc>
          <w:tcPr>
            <w:tcW w:w="602" w:type="pct"/>
            <w:tcBorders>
              <w:top w:val="nil"/>
              <w:left w:val="nil"/>
              <w:bottom w:val="single" w:color="auto" w:sz="4" w:space="0"/>
              <w:right w:val="single" w:color="auto" w:sz="4" w:space="0"/>
            </w:tcBorders>
            <w:shd w:val="clear" w:color="auto" w:fill="auto"/>
            <w:vAlign w:val="center"/>
          </w:tcPr>
          <w:p w14:paraId="7117C2FD">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32套/年</w:t>
            </w:r>
          </w:p>
        </w:tc>
        <w:tc>
          <w:tcPr>
            <w:tcW w:w="1966" w:type="pct"/>
            <w:tcBorders>
              <w:top w:val="nil"/>
              <w:left w:val="nil"/>
              <w:bottom w:val="single" w:color="auto" w:sz="4" w:space="0"/>
              <w:right w:val="single" w:color="auto" w:sz="4" w:space="0"/>
            </w:tcBorders>
            <w:shd w:val="clear" w:color="auto" w:fill="auto"/>
            <w:noWrap/>
            <w:vAlign w:val="center"/>
          </w:tcPr>
          <w:p w14:paraId="1FE92BD7">
            <w:pPr>
              <w:widowControl/>
              <w:spacing w:line="240" w:lineRule="auto"/>
              <w:rPr>
                <w:rFonts w:ascii="宋体" w:hAnsi="宋体" w:cs="宋体"/>
                <w:color w:val="000000"/>
                <w:kern w:val="0"/>
                <w:sz w:val="22"/>
                <w:szCs w:val="22"/>
              </w:rPr>
            </w:pPr>
            <w:r>
              <w:rPr>
                <w:rFonts w:hint="eastAsia" w:ascii="宋体" w:hAnsi="宋体" w:cs="宋体"/>
                <w:color w:val="000000"/>
                <w:kern w:val="0"/>
                <w:sz w:val="20"/>
                <w:szCs w:val="20"/>
              </w:rPr>
              <w:t>S5130S-52S-EI</w:t>
            </w:r>
          </w:p>
        </w:tc>
        <w:tc>
          <w:tcPr>
            <w:tcW w:w="1323" w:type="pct"/>
            <w:tcBorders>
              <w:top w:val="nil"/>
              <w:left w:val="nil"/>
              <w:bottom w:val="single" w:color="auto" w:sz="4" w:space="0"/>
              <w:right w:val="single" w:color="auto" w:sz="4" w:space="0"/>
            </w:tcBorders>
            <w:shd w:val="clear" w:color="auto" w:fill="auto"/>
            <w:vAlign w:val="center"/>
          </w:tcPr>
          <w:p w14:paraId="544AF9CF">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一年原厂维保，如无法修复直接换新</w:t>
            </w:r>
          </w:p>
        </w:tc>
      </w:tr>
      <w:tr w14:paraId="035008FC">
        <w:tblPrEx>
          <w:tblCellMar>
            <w:top w:w="0" w:type="dxa"/>
            <w:left w:w="108" w:type="dxa"/>
            <w:bottom w:w="0" w:type="dxa"/>
            <w:right w:w="108" w:type="dxa"/>
          </w:tblCellMar>
        </w:tblPrEx>
        <w:trPr>
          <w:trHeight w:val="960" w:hRule="atLeast"/>
        </w:trPr>
        <w:tc>
          <w:tcPr>
            <w:tcW w:w="335" w:type="pct"/>
            <w:vMerge w:val="restart"/>
            <w:tcBorders>
              <w:top w:val="nil"/>
              <w:left w:val="single" w:color="auto" w:sz="4" w:space="0"/>
              <w:bottom w:val="single" w:color="000000" w:sz="4" w:space="0"/>
              <w:right w:val="single" w:color="auto" w:sz="4" w:space="0"/>
            </w:tcBorders>
            <w:shd w:val="clear" w:color="auto" w:fill="auto"/>
            <w:noWrap/>
            <w:vAlign w:val="center"/>
          </w:tcPr>
          <w:p w14:paraId="22376229">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11</w:t>
            </w:r>
          </w:p>
        </w:tc>
        <w:tc>
          <w:tcPr>
            <w:tcW w:w="772" w:type="pct"/>
            <w:vMerge w:val="restart"/>
            <w:tcBorders>
              <w:top w:val="nil"/>
              <w:left w:val="single" w:color="auto" w:sz="4" w:space="0"/>
              <w:bottom w:val="single" w:color="000000" w:sz="4" w:space="0"/>
              <w:right w:val="single" w:color="auto" w:sz="4" w:space="0"/>
            </w:tcBorders>
            <w:shd w:val="clear" w:color="auto" w:fill="auto"/>
            <w:vAlign w:val="center"/>
          </w:tcPr>
          <w:p w14:paraId="35726244">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人员服务</w:t>
            </w:r>
          </w:p>
        </w:tc>
        <w:tc>
          <w:tcPr>
            <w:tcW w:w="602" w:type="pct"/>
            <w:tcBorders>
              <w:top w:val="nil"/>
              <w:left w:val="nil"/>
              <w:bottom w:val="single" w:color="auto" w:sz="4" w:space="0"/>
              <w:right w:val="single" w:color="auto" w:sz="4" w:space="0"/>
            </w:tcBorders>
            <w:shd w:val="clear" w:color="auto" w:fill="auto"/>
            <w:vAlign w:val="center"/>
          </w:tcPr>
          <w:p w14:paraId="702D9DBF">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1项/年</w:t>
            </w:r>
          </w:p>
        </w:tc>
        <w:tc>
          <w:tcPr>
            <w:tcW w:w="1966" w:type="pct"/>
            <w:tcBorders>
              <w:top w:val="nil"/>
              <w:left w:val="nil"/>
              <w:bottom w:val="single" w:color="auto" w:sz="4" w:space="0"/>
              <w:right w:val="single" w:color="auto" w:sz="4" w:space="0"/>
            </w:tcBorders>
            <w:shd w:val="clear" w:color="auto" w:fill="auto"/>
            <w:vAlign w:val="center"/>
          </w:tcPr>
          <w:p w14:paraId="3E0976C2">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保障整个网络体系，设备包含核心层、汇聚层和接入层所有设备，不仅保证设备的正常开机和运转，承诺保证配置无误、网络拓扑合理、真实业务可用</w:t>
            </w:r>
          </w:p>
        </w:tc>
        <w:tc>
          <w:tcPr>
            <w:tcW w:w="1323" w:type="pct"/>
            <w:tcBorders>
              <w:top w:val="nil"/>
              <w:left w:val="nil"/>
              <w:bottom w:val="single" w:color="auto" w:sz="4" w:space="0"/>
              <w:right w:val="single" w:color="auto" w:sz="4" w:space="0"/>
            </w:tcBorders>
            <w:shd w:val="clear" w:color="auto" w:fill="auto"/>
            <w:vAlign w:val="center"/>
          </w:tcPr>
          <w:p w14:paraId="6EA35EF9">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　</w:t>
            </w:r>
          </w:p>
        </w:tc>
      </w:tr>
      <w:tr w14:paraId="39FA2339">
        <w:tblPrEx>
          <w:tblCellMar>
            <w:top w:w="0" w:type="dxa"/>
            <w:left w:w="108" w:type="dxa"/>
            <w:bottom w:w="0" w:type="dxa"/>
            <w:right w:w="108" w:type="dxa"/>
          </w:tblCellMar>
        </w:tblPrEx>
        <w:trPr>
          <w:trHeight w:val="1440" w:hRule="atLeast"/>
        </w:trPr>
        <w:tc>
          <w:tcPr>
            <w:tcW w:w="335" w:type="pct"/>
            <w:vMerge w:val="continue"/>
            <w:tcBorders>
              <w:top w:val="nil"/>
              <w:left w:val="single" w:color="auto" w:sz="4" w:space="0"/>
              <w:bottom w:val="single" w:color="000000" w:sz="4" w:space="0"/>
              <w:right w:val="single" w:color="auto" w:sz="4" w:space="0"/>
            </w:tcBorders>
            <w:shd w:val="clear" w:color="auto" w:fill="auto"/>
            <w:vAlign w:val="center"/>
          </w:tcPr>
          <w:p w14:paraId="3F282C74">
            <w:pPr>
              <w:widowControl/>
              <w:spacing w:line="240" w:lineRule="auto"/>
              <w:rPr>
                <w:rFonts w:ascii="宋体" w:hAnsi="宋体" w:cs="宋体"/>
                <w:color w:val="000000"/>
                <w:kern w:val="0"/>
                <w:sz w:val="20"/>
                <w:szCs w:val="20"/>
              </w:rPr>
            </w:pPr>
          </w:p>
        </w:tc>
        <w:tc>
          <w:tcPr>
            <w:tcW w:w="772" w:type="pct"/>
            <w:vMerge w:val="continue"/>
            <w:tcBorders>
              <w:top w:val="nil"/>
              <w:left w:val="single" w:color="auto" w:sz="4" w:space="0"/>
              <w:bottom w:val="single" w:color="000000" w:sz="4" w:space="0"/>
              <w:right w:val="single" w:color="auto" w:sz="4" w:space="0"/>
            </w:tcBorders>
            <w:shd w:val="clear" w:color="auto" w:fill="auto"/>
            <w:vAlign w:val="center"/>
          </w:tcPr>
          <w:p w14:paraId="78FB45EC">
            <w:pPr>
              <w:widowControl/>
              <w:spacing w:line="240" w:lineRule="auto"/>
              <w:rPr>
                <w:rFonts w:ascii="宋体" w:hAnsi="宋体" w:cs="宋体"/>
                <w:color w:val="000000"/>
                <w:kern w:val="0"/>
                <w:sz w:val="20"/>
                <w:szCs w:val="20"/>
              </w:rPr>
            </w:pPr>
          </w:p>
        </w:tc>
        <w:tc>
          <w:tcPr>
            <w:tcW w:w="602" w:type="pct"/>
            <w:tcBorders>
              <w:top w:val="nil"/>
              <w:left w:val="nil"/>
              <w:bottom w:val="single" w:color="auto" w:sz="4" w:space="0"/>
              <w:right w:val="single" w:color="auto" w:sz="4" w:space="0"/>
            </w:tcBorders>
            <w:shd w:val="clear" w:color="auto" w:fill="auto"/>
            <w:vAlign w:val="center"/>
          </w:tcPr>
          <w:p w14:paraId="4B5EAF7B">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1项/年</w:t>
            </w:r>
          </w:p>
        </w:tc>
        <w:tc>
          <w:tcPr>
            <w:tcW w:w="1966" w:type="pct"/>
            <w:tcBorders>
              <w:top w:val="nil"/>
              <w:left w:val="nil"/>
              <w:bottom w:val="single" w:color="auto" w:sz="4" w:space="0"/>
              <w:right w:val="single" w:color="auto" w:sz="4" w:space="0"/>
            </w:tcBorders>
            <w:shd w:val="clear" w:color="auto" w:fill="auto"/>
            <w:vAlign w:val="center"/>
          </w:tcPr>
          <w:p w14:paraId="1FE65F67">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提供7×24小时无间断的问题解决及咨询服务，支持渠道包括但不限于现场、QQ群、企业微信、微信群等。</w:t>
            </w:r>
            <w:r>
              <w:rPr>
                <w:rFonts w:hint="eastAsia" w:ascii="宋体" w:hAnsi="宋体" w:cs="宋体"/>
                <w:color w:val="000000"/>
                <w:kern w:val="0"/>
                <w:sz w:val="20"/>
                <w:szCs w:val="20"/>
                <w:lang w:val="en-US" w:eastAsia="zh-CN"/>
              </w:rPr>
              <w:t>医院方</w:t>
            </w:r>
            <w:r>
              <w:rPr>
                <w:rFonts w:hint="eastAsia" w:ascii="宋体" w:hAnsi="宋体" w:cs="宋体"/>
                <w:color w:val="000000"/>
                <w:kern w:val="0"/>
                <w:sz w:val="20"/>
                <w:szCs w:val="20"/>
              </w:rPr>
              <w:t>可能不定期向</w:t>
            </w:r>
            <w:r>
              <w:rPr>
                <w:rFonts w:hint="eastAsia" w:ascii="宋体" w:hAnsi="宋体" w:cs="宋体"/>
                <w:color w:val="000000"/>
                <w:kern w:val="0"/>
                <w:sz w:val="20"/>
                <w:szCs w:val="20"/>
                <w:lang w:val="en-US" w:eastAsia="zh-CN"/>
              </w:rPr>
              <w:t>成交服务商</w:t>
            </w:r>
            <w:r>
              <w:rPr>
                <w:rFonts w:hint="eastAsia" w:ascii="宋体" w:hAnsi="宋体" w:cs="宋体"/>
                <w:color w:val="000000"/>
                <w:kern w:val="0"/>
                <w:sz w:val="20"/>
                <w:szCs w:val="20"/>
              </w:rPr>
              <w:t>进行问题咨询，在</w:t>
            </w:r>
            <w:r>
              <w:rPr>
                <w:rFonts w:hint="eastAsia" w:ascii="宋体" w:hAnsi="宋体" w:cs="宋体"/>
                <w:color w:val="000000"/>
                <w:kern w:val="0"/>
                <w:sz w:val="20"/>
                <w:szCs w:val="20"/>
                <w:lang w:val="en-US" w:eastAsia="zh-CN"/>
              </w:rPr>
              <w:t>成交服务商</w:t>
            </w:r>
            <w:r>
              <w:rPr>
                <w:rFonts w:hint="eastAsia" w:ascii="宋体" w:hAnsi="宋体" w:cs="宋体"/>
                <w:color w:val="000000"/>
                <w:kern w:val="0"/>
                <w:sz w:val="20"/>
                <w:szCs w:val="20"/>
              </w:rPr>
              <w:t>无法解答的情况下，需协调原厂工程师解决</w:t>
            </w:r>
            <w:r>
              <w:rPr>
                <w:rFonts w:hint="eastAsia" w:ascii="宋体" w:hAnsi="宋体" w:cs="宋体"/>
                <w:color w:val="000000"/>
                <w:kern w:val="0"/>
                <w:sz w:val="20"/>
                <w:szCs w:val="20"/>
                <w:lang w:val="en-US" w:eastAsia="zh-CN"/>
              </w:rPr>
              <w:t>医院方</w:t>
            </w:r>
            <w:r>
              <w:rPr>
                <w:rFonts w:hint="eastAsia" w:ascii="宋体" w:hAnsi="宋体" w:cs="宋体"/>
                <w:color w:val="000000"/>
                <w:kern w:val="0"/>
                <w:sz w:val="20"/>
                <w:szCs w:val="20"/>
              </w:rPr>
              <w:t>咨询的问题</w:t>
            </w:r>
          </w:p>
        </w:tc>
        <w:tc>
          <w:tcPr>
            <w:tcW w:w="1323" w:type="pct"/>
            <w:tcBorders>
              <w:top w:val="nil"/>
              <w:left w:val="nil"/>
              <w:bottom w:val="single" w:color="auto" w:sz="4" w:space="0"/>
              <w:right w:val="single" w:color="auto" w:sz="4" w:space="0"/>
            </w:tcBorders>
            <w:shd w:val="clear" w:color="auto" w:fill="auto"/>
            <w:vAlign w:val="center"/>
          </w:tcPr>
          <w:p w14:paraId="2E09C5E3">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　</w:t>
            </w:r>
          </w:p>
        </w:tc>
      </w:tr>
      <w:tr w14:paraId="44B9B350">
        <w:tblPrEx>
          <w:tblCellMar>
            <w:top w:w="0" w:type="dxa"/>
            <w:left w:w="108" w:type="dxa"/>
            <w:bottom w:w="0" w:type="dxa"/>
            <w:right w:w="108" w:type="dxa"/>
          </w:tblCellMar>
        </w:tblPrEx>
        <w:trPr>
          <w:trHeight w:val="974" w:hRule="atLeast"/>
        </w:trPr>
        <w:tc>
          <w:tcPr>
            <w:tcW w:w="335" w:type="pct"/>
            <w:vMerge w:val="continue"/>
            <w:tcBorders>
              <w:top w:val="nil"/>
              <w:left w:val="single" w:color="auto" w:sz="4" w:space="0"/>
              <w:bottom w:val="single" w:color="000000" w:sz="4" w:space="0"/>
              <w:right w:val="single" w:color="auto" w:sz="4" w:space="0"/>
            </w:tcBorders>
            <w:shd w:val="clear" w:color="auto" w:fill="auto"/>
            <w:vAlign w:val="center"/>
          </w:tcPr>
          <w:p w14:paraId="298F30A1">
            <w:pPr>
              <w:widowControl/>
              <w:spacing w:line="240" w:lineRule="auto"/>
              <w:rPr>
                <w:rFonts w:ascii="宋体" w:hAnsi="宋体" w:cs="宋体"/>
                <w:color w:val="000000"/>
                <w:kern w:val="0"/>
                <w:sz w:val="20"/>
                <w:szCs w:val="20"/>
              </w:rPr>
            </w:pPr>
          </w:p>
        </w:tc>
        <w:tc>
          <w:tcPr>
            <w:tcW w:w="772" w:type="pct"/>
            <w:vMerge w:val="continue"/>
            <w:tcBorders>
              <w:top w:val="nil"/>
              <w:left w:val="single" w:color="auto" w:sz="4" w:space="0"/>
              <w:bottom w:val="single" w:color="000000" w:sz="4" w:space="0"/>
              <w:right w:val="single" w:color="auto" w:sz="4" w:space="0"/>
            </w:tcBorders>
            <w:shd w:val="clear" w:color="auto" w:fill="auto"/>
            <w:vAlign w:val="center"/>
          </w:tcPr>
          <w:p w14:paraId="667E6B21">
            <w:pPr>
              <w:widowControl/>
              <w:spacing w:line="240" w:lineRule="auto"/>
              <w:rPr>
                <w:rFonts w:ascii="宋体" w:hAnsi="宋体" w:cs="宋体"/>
                <w:color w:val="000000"/>
                <w:kern w:val="0"/>
                <w:sz w:val="20"/>
                <w:szCs w:val="20"/>
              </w:rPr>
            </w:pPr>
          </w:p>
        </w:tc>
        <w:tc>
          <w:tcPr>
            <w:tcW w:w="602" w:type="pct"/>
            <w:tcBorders>
              <w:top w:val="nil"/>
              <w:left w:val="nil"/>
              <w:bottom w:val="single" w:color="auto" w:sz="4" w:space="0"/>
              <w:right w:val="single" w:color="auto" w:sz="4" w:space="0"/>
            </w:tcBorders>
            <w:shd w:val="clear" w:color="auto" w:fill="auto"/>
            <w:vAlign w:val="center"/>
          </w:tcPr>
          <w:p w14:paraId="66E7EEAA">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1项/年</w:t>
            </w:r>
          </w:p>
        </w:tc>
        <w:tc>
          <w:tcPr>
            <w:tcW w:w="1966" w:type="pct"/>
            <w:tcBorders>
              <w:top w:val="nil"/>
              <w:left w:val="nil"/>
              <w:bottom w:val="single" w:color="auto" w:sz="4" w:space="0"/>
              <w:right w:val="single" w:color="auto" w:sz="4" w:space="0"/>
            </w:tcBorders>
            <w:shd w:val="clear" w:color="auto" w:fill="auto"/>
            <w:vAlign w:val="center"/>
          </w:tcPr>
          <w:p w14:paraId="614723FD">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快速备件先行更换服务：经过原厂工程师定位问题为硬件故障需更换硬件后，要求原厂备件先到现场进行更换，再将坏件寄回，对所维保设备所产生的维修费、配件费、日常检查保养费由中标服务商承担；为保证维保服务质量，</w:t>
            </w:r>
            <w:r>
              <w:rPr>
                <w:rFonts w:hint="eastAsia" w:ascii="宋体" w:hAnsi="宋体" w:cs="宋体"/>
                <w:color w:val="000000"/>
                <w:kern w:val="0"/>
                <w:sz w:val="20"/>
                <w:szCs w:val="20"/>
                <w:lang w:val="en-US" w:eastAsia="zh-CN"/>
              </w:rPr>
              <w:t>响应服务商</w:t>
            </w:r>
            <w:r>
              <w:rPr>
                <w:rFonts w:hint="eastAsia" w:ascii="宋体" w:hAnsi="宋体" w:cs="宋体"/>
                <w:color w:val="000000"/>
                <w:kern w:val="0"/>
                <w:sz w:val="20"/>
                <w:szCs w:val="20"/>
              </w:rPr>
              <w:t>必须保证提供的维保产品配件是正规渠道的原厂产品配件，并且与</w:t>
            </w:r>
            <w:r>
              <w:rPr>
                <w:rFonts w:hint="eastAsia" w:ascii="宋体" w:hAnsi="宋体" w:cs="宋体"/>
                <w:color w:val="000000"/>
                <w:kern w:val="0"/>
                <w:sz w:val="20"/>
                <w:szCs w:val="20"/>
                <w:lang w:val="en-US" w:eastAsia="zh-CN"/>
              </w:rPr>
              <w:t>医院方</w:t>
            </w:r>
            <w:r>
              <w:rPr>
                <w:rFonts w:hint="eastAsia" w:ascii="宋体" w:hAnsi="宋体" w:cs="宋体"/>
                <w:color w:val="000000"/>
                <w:kern w:val="0"/>
                <w:sz w:val="20"/>
                <w:szCs w:val="20"/>
              </w:rPr>
              <w:t>原部件品牌、型号相同，如发生相关纠纷，由</w:t>
            </w:r>
            <w:r>
              <w:rPr>
                <w:rFonts w:hint="eastAsia" w:ascii="宋体" w:hAnsi="宋体" w:cs="宋体"/>
                <w:color w:val="000000"/>
                <w:kern w:val="0"/>
                <w:sz w:val="20"/>
                <w:szCs w:val="20"/>
                <w:lang w:val="en-US" w:eastAsia="zh-CN"/>
              </w:rPr>
              <w:t>响应服务商</w:t>
            </w:r>
            <w:r>
              <w:rPr>
                <w:rFonts w:hint="eastAsia" w:ascii="宋体" w:hAnsi="宋体" w:cs="宋体"/>
                <w:color w:val="000000"/>
                <w:kern w:val="0"/>
                <w:sz w:val="20"/>
                <w:szCs w:val="20"/>
              </w:rPr>
              <w:t>解决并承担全部责任，与</w:t>
            </w:r>
            <w:r>
              <w:rPr>
                <w:rFonts w:hint="eastAsia" w:ascii="宋体" w:hAnsi="宋体" w:cs="宋体"/>
                <w:color w:val="000000"/>
                <w:kern w:val="0"/>
                <w:sz w:val="20"/>
                <w:szCs w:val="20"/>
                <w:lang w:val="en-US" w:eastAsia="zh-CN"/>
              </w:rPr>
              <w:t>医院方</w:t>
            </w:r>
            <w:r>
              <w:rPr>
                <w:rFonts w:hint="eastAsia" w:ascii="宋体" w:hAnsi="宋体" w:cs="宋体"/>
                <w:color w:val="000000"/>
                <w:kern w:val="0"/>
                <w:sz w:val="20"/>
                <w:szCs w:val="20"/>
              </w:rPr>
              <w:t>无关。</w:t>
            </w:r>
            <w:r>
              <w:rPr>
                <w:rFonts w:hint="eastAsia" w:ascii="宋体" w:hAnsi="宋体" w:cs="宋体"/>
                <w:kern w:val="0"/>
                <w:sz w:val="20"/>
                <w:szCs w:val="20"/>
              </w:rPr>
              <w:t>为确保</w:t>
            </w:r>
            <w:r>
              <w:rPr>
                <w:rFonts w:hint="eastAsia" w:ascii="宋体" w:hAnsi="宋体" w:cs="宋体"/>
                <w:color w:val="000000"/>
                <w:kern w:val="0"/>
                <w:sz w:val="20"/>
                <w:szCs w:val="20"/>
                <w:lang w:val="en-US" w:eastAsia="zh-CN"/>
              </w:rPr>
              <w:t>响应服务商</w:t>
            </w:r>
            <w:r>
              <w:rPr>
                <w:rFonts w:hint="eastAsia" w:ascii="宋体" w:hAnsi="宋体" w:cs="宋体"/>
                <w:kern w:val="0"/>
                <w:sz w:val="20"/>
                <w:szCs w:val="20"/>
              </w:rPr>
              <w:t>可提供原厂商备品备件，</w:t>
            </w:r>
            <w:r>
              <w:rPr>
                <w:rFonts w:hint="eastAsia" w:ascii="宋体" w:hAnsi="宋体" w:cs="宋体"/>
                <w:kern w:val="0"/>
                <w:sz w:val="20"/>
                <w:szCs w:val="20"/>
                <w:lang w:val="en-US" w:eastAsia="zh-CN"/>
              </w:rPr>
              <w:t>响应</w:t>
            </w:r>
            <w:r>
              <w:rPr>
                <w:rFonts w:hint="eastAsia" w:ascii="宋体" w:hAnsi="宋体" w:cs="宋体"/>
                <w:kern w:val="0"/>
                <w:sz w:val="20"/>
                <w:szCs w:val="20"/>
              </w:rPr>
              <w:t>时必须提供产品原厂商提供的《原厂备件承诺书》，否则</w:t>
            </w:r>
            <w:r>
              <w:rPr>
                <w:rFonts w:hint="eastAsia" w:ascii="宋体" w:hAnsi="宋体" w:cs="宋体"/>
                <w:kern w:val="0"/>
                <w:sz w:val="20"/>
                <w:szCs w:val="20"/>
                <w:lang w:val="en-US" w:eastAsia="zh-CN"/>
              </w:rPr>
              <w:t>响应</w:t>
            </w:r>
            <w:r>
              <w:rPr>
                <w:rFonts w:hint="eastAsia" w:ascii="宋体" w:hAnsi="宋体" w:cs="宋体"/>
                <w:kern w:val="0"/>
                <w:sz w:val="20"/>
                <w:szCs w:val="20"/>
              </w:rPr>
              <w:t>无效</w:t>
            </w:r>
          </w:p>
        </w:tc>
        <w:tc>
          <w:tcPr>
            <w:tcW w:w="1323" w:type="pct"/>
            <w:tcBorders>
              <w:top w:val="nil"/>
              <w:left w:val="nil"/>
              <w:bottom w:val="single" w:color="auto" w:sz="4" w:space="0"/>
              <w:right w:val="single" w:color="auto" w:sz="4" w:space="0"/>
            </w:tcBorders>
            <w:shd w:val="clear" w:color="auto" w:fill="auto"/>
            <w:vAlign w:val="center"/>
          </w:tcPr>
          <w:p w14:paraId="1BE46372">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　</w:t>
            </w:r>
          </w:p>
        </w:tc>
      </w:tr>
      <w:tr w14:paraId="00ADD4CD">
        <w:tblPrEx>
          <w:tblCellMar>
            <w:top w:w="0" w:type="dxa"/>
            <w:left w:w="108" w:type="dxa"/>
            <w:bottom w:w="0" w:type="dxa"/>
            <w:right w:w="108" w:type="dxa"/>
          </w:tblCellMar>
        </w:tblPrEx>
        <w:trPr>
          <w:trHeight w:val="1500" w:hRule="atLeast"/>
        </w:trPr>
        <w:tc>
          <w:tcPr>
            <w:tcW w:w="335" w:type="pct"/>
            <w:vMerge w:val="continue"/>
            <w:tcBorders>
              <w:top w:val="nil"/>
              <w:left w:val="single" w:color="auto" w:sz="4" w:space="0"/>
              <w:bottom w:val="single" w:color="000000" w:sz="4" w:space="0"/>
              <w:right w:val="single" w:color="auto" w:sz="4" w:space="0"/>
            </w:tcBorders>
            <w:shd w:val="clear" w:color="auto" w:fill="auto"/>
            <w:vAlign w:val="center"/>
          </w:tcPr>
          <w:p w14:paraId="2C7F21B5">
            <w:pPr>
              <w:widowControl/>
              <w:spacing w:line="240" w:lineRule="auto"/>
              <w:rPr>
                <w:rFonts w:ascii="宋体" w:hAnsi="宋体" w:cs="宋体"/>
                <w:color w:val="000000"/>
                <w:kern w:val="0"/>
                <w:sz w:val="20"/>
                <w:szCs w:val="20"/>
              </w:rPr>
            </w:pPr>
          </w:p>
        </w:tc>
        <w:tc>
          <w:tcPr>
            <w:tcW w:w="772" w:type="pct"/>
            <w:vMerge w:val="continue"/>
            <w:tcBorders>
              <w:top w:val="nil"/>
              <w:left w:val="single" w:color="auto" w:sz="4" w:space="0"/>
              <w:bottom w:val="single" w:color="000000" w:sz="4" w:space="0"/>
              <w:right w:val="single" w:color="auto" w:sz="4" w:space="0"/>
            </w:tcBorders>
            <w:shd w:val="clear" w:color="auto" w:fill="auto"/>
            <w:vAlign w:val="center"/>
          </w:tcPr>
          <w:p w14:paraId="5BF53BAA">
            <w:pPr>
              <w:widowControl/>
              <w:spacing w:line="240" w:lineRule="auto"/>
              <w:rPr>
                <w:rFonts w:ascii="宋体" w:hAnsi="宋体" w:cs="宋体"/>
                <w:color w:val="000000"/>
                <w:kern w:val="0"/>
                <w:sz w:val="20"/>
                <w:szCs w:val="20"/>
              </w:rPr>
            </w:pPr>
          </w:p>
        </w:tc>
        <w:tc>
          <w:tcPr>
            <w:tcW w:w="602" w:type="pct"/>
            <w:tcBorders>
              <w:top w:val="nil"/>
              <w:left w:val="nil"/>
              <w:bottom w:val="single" w:color="auto" w:sz="4" w:space="0"/>
              <w:right w:val="single" w:color="auto" w:sz="4" w:space="0"/>
            </w:tcBorders>
            <w:shd w:val="clear" w:color="auto" w:fill="auto"/>
            <w:vAlign w:val="center"/>
          </w:tcPr>
          <w:p w14:paraId="0FE5C48B">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1项/年</w:t>
            </w:r>
          </w:p>
        </w:tc>
        <w:tc>
          <w:tcPr>
            <w:tcW w:w="1966" w:type="pct"/>
            <w:tcBorders>
              <w:top w:val="nil"/>
              <w:left w:val="nil"/>
              <w:bottom w:val="single" w:color="auto" w:sz="4" w:space="0"/>
              <w:right w:val="single" w:color="auto" w:sz="4" w:space="0"/>
            </w:tcBorders>
            <w:shd w:val="clear" w:color="auto" w:fill="auto"/>
            <w:vAlign w:val="center"/>
          </w:tcPr>
          <w:p w14:paraId="3A8910C3">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故障响应时间：7*24小时提供电话技术支持（包含邮件、远程桌面支持），接到故障通知后，</w:t>
            </w:r>
            <w:r>
              <w:rPr>
                <w:rFonts w:hint="eastAsia" w:ascii="宋体" w:hAnsi="宋体" w:cs="宋体"/>
                <w:color w:val="000000"/>
                <w:kern w:val="0"/>
                <w:sz w:val="20"/>
                <w:szCs w:val="20"/>
                <w:lang w:val="en-US" w:eastAsia="zh-CN"/>
              </w:rPr>
              <w:t>如为</w:t>
            </w:r>
            <w:r>
              <w:rPr>
                <w:rFonts w:hint="eastAsia" w:ascii="宋体" w:hAnsi="宋体" w:cs="宋体"/>
                <w:color w:val="000000"/>
                <w:kern w:val="0"/>
                <w:sz w:val="20"/>
                <w:szCs w:val="20"/>
              </w:rPr>
              <w:t>硬件设备问题，</w:t>
            </w:r>
            <w:r>
              <w:rPr>
                <w:rFonts w:hint="eastAsia" w:ascii="宋体" w:hAnsi="宋体" w:cs="宋体"/>
                <w:color w:val="000000"/>
                <w:kern w:val="0"/>
                <w:sz w:val="20"/>
                <w:szCs w:val="20"/>
                <w:lang w:val="en-US" w:eastAsia="zh-CN"/>
              </w:rPr>
              <w:t>成交服务商</w:t>
            </w:r>
            <w:r>
              <w:rPr>
                <w:rFonts w:hint="eastAsia" w:ascii="宋体" w:hAnsi="宋体" w:cs="宋体"/>
                <w:color w:val="000000"/>
                <w:kern w:val="0"/>
                <w:sz w:val="20"/>
                <w:szCs w:val="20"/>
              </w:rPr>
              <w:t>技术服务人员</w:t>
            </w:r>
            <w:r>
              <w:rPr>
                <w:rFonts w:hint="eastAsia" w:ascii="宋体" w:hAnsi="宋体" w:cs="宋体"/>
                <w:color w:val="000000"/>
                <w:kern w:val="0"/>
                <w:sz w:val="20"/>
                <w:szCs w:val="20"/>
                <w:lang w:val="en-US" w:eastAsia="zh-CN"/>
              </w:rPr>
              <w:t>需</w:t>
            </w:r>
            <w:r>
              <w:rPr>
                <w:rFonts w:hint="eastAsia" w:ascii="宋体" w:hAnsi="宋体" w:cs="宋体"/>
                <w:color w:val="000000"/>
                <w:kern w:val="0"/>
                <w:sz w:val="20"/>
                <w:szCs w:val="20"/>
              </w:rPr>
              <w:t>在10分钟内电话响应，1小时内到达故障现场，查明故障原因，提出解决方案，在节假日、休息日或下班期间，</w:t>
            </w:r>
            <w:r>
              <w:rPr>
                <w:rFonts w:hint="eastAsia" w:ascii="宋体" w:hAnsi="宋体" w:cs="宋体"/>
                <w:color w:val="000000"/>
                <w:kern w:val="0"/>
                <w:sz w:val="20"/>
                <w:szCs w:val="20"/>
                <w:lang w:val="en-US" w:eastAsia="zh-CN"/>
              </w:rPr>
              <w:t>医院方</w:t>
            </w:r>
            <w:r>
              <w:rPr>
                <w:rFonts w:hint="eastAsia" w:ascii="宋体" w:hAnsi="宋体" w:cs="宋体"/>
                <w:color w:val="000000"/>
                <w:kern w:val="0"/>
                <w:sz w:val="20"/>
                <w:szCs w:val="20"/>
              </w:rPr>
              <w:t>可通过手机或电话与</w:t>
            </w:r>
            <w:r>
              <w:rPr>
                <w:rFonts w:hint="eastAsia" w:ascii="宋体" w:hAnsi="宋体" w:cs="宋体"/>
                <w:color w:val="000000"/>
                <w:kern w:val="0"/>
                <w:sz w:val="20"/>
                <w:szCs w:val="20"/>
                <w:lang w:val="en-US" w:eastAsia="zh-CN"/>
              </w:rPr>
              <w:t>成交服务商</w:t>
            </w:r>
            <w:r>
              <w:rPr>
                <w:rFonts w:hint="eastAsia" w:ascii="宋体" w:hAnsi="宋体" w:cs="宋体"/>
                <w:color w:val="000000"/>
                <w:kern w:val="0"/>
                <w:sz w:val="20"/>
                <w:szCs w:val="20"/>
              </w:rPr>
              <w:t>取得联系，一般故障在8小时内修复，若无法及时修复，</w:t>
            </w:r>
            <w:r>
              <w:rPr>
                <w:rFonts w:hint="eastAsia" w:ascii="宋体" w:hAnsi="宋体" w:cs="宋体"/>
                <w:color w:val="000000"/>
                <w:kern w:val="0"/>
                <w:sz w:val="20"/>
                <w:szCs w:val="20"/>
                <w:lang w:val="en-US" w:eastAsia="zh-CN"/>
              </w:rPr>
              <w:t>成交服务商需</w:t>
            </w:r>
            <w:r>
              <w:rPr>
                <w:rFonts w:hint="eastAsia" w:ascii="宋体" w:hAnsi="宋体" w:cs="宋体"/>
                <w:color w:val="000000"/>
                <w:kern w:val="0"/>
                <w:sz w:val="20"/>
                <w:szCs w:val="20"/>
              </w:rPr>
              <w:t>提供替代备件（同型号产品或性能优于原设备产品），以替换故障设备，维持用户系统的正常运行，如需更换设备，48小时内完成新设备安装调试恢复正常。</w:t>
            </w:r>
          </w:p>
        </w:tc>
        <w:tc>
          <w:tcPr>
            <w:tcW w:w="1323" w:type="pct"/>
            <w:tcBorders>
              <w:top w:val="nil"/>
              <w:left w:val="nil"/>
              <w:bottom w:val="single" w:color="auto" w:sz="4" w:space="0"/>
              <w:right w:val="single" w:color="auto" w:sz="4" w:space="0"/>
            </w:tcBorders>
            <w:shd w:val="clear" w:color="auto" w:fill="auto"/>
            <w:vAlign w:val="center"/>
          </w:tcPr>
          <w:p w14:paraId="2436A3ED">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　</w:t>
            </w:r>
          </w:p>
        </w:tc>
      </w:tr>
      <w:tr w14:paraId="7DFE1A75">
        <w:tblPrEx>
          <w:tblCellMar>
            <w:top w:w="0" w:type="dxa"/>
            <w:left w:w="108" w:type="dxa"/>
            <w:bottom w:w="0" w:type="dxa"/>
            <w:right w:w="108" w:type="dxa"/>
          </w:tblCellMar>
        </w:tblPrEx>
        <w:trPr>
          <w:trHeight w:val="720" w:hRule="atLeast"/>
        </w:trPr>
        <w:tc>
          <w:tcPr>
            <w:tcW w:w="335" w:type="pct"/>
            <w:vMerge w:val="continue"/>
            <w:tcBorders>
              <w:top w:val="nil"/>
              <w:left w:val="single" w:color="auto" w:sz="4" w:space="0"/>
              <w:bottom w:val="single" w:color="000000" w:sz="4" w:space="0"/>
              <w:right w:val="single" w:color="auto" w:sz="4" w:space="0"/>
            </w:tcBorders>
            <w:shd w:val="clear" w:color="auto" w:fill="auto"/>
            <w:vAlign w:val="center"/>
          </w:tcPr>
          <w:p w14:paraId="71033240">
            <w:pPr>
              <w:widowControl/>
              <w:spacing w:line="240" w:lineRule="auto"/>
              <w:rPr>
                <w:rFonts w:ascii="宋体" w:hAnsi="宋体" w:cs="宋体"/>
                <w:color w:val="000000"/>
                <w:kern w:val="0"/>
                <w:sz w:val="20"/>
                <w:szCs w:val="20"/>
              </w:rPr>
            </w:pPr>
          </w:p>
        </w:tc>
        <w:tc>
          <w:tcPr>
            <w:tcW w:w="772" w:type="pct"/>
            <w:vMerge w:val="continue"/>
            <w:tcBorders>
              <w:top w:val="nil"/>
              <w:left w:val="single" w:color="auto" w:sz="4" w:space="0"/>
              <w:bottom w:val="single" w:color="000000" w:sz="4" w:space="0"/>
              <w:right w:val="single" w:color="auto" w:sz="4" w:space="0"/>
            </w:tcBorders>
            <w:shd w:val="clear" w:color="auto" w:fill="auto"/>
            <w:vAlign w:val="center"/>
          </w:tcPr>
          <w:p w14:paraId="555E31E7">
            <w:pPr>
              <w:widowControl/>
              <w:spacing w:line="240" w:lineRule="auto"/>
              <w:rPr>
                <w:rFonts w:ascii="宋体" w:hAnsi="宋体" w:cs="宋体"/>
                <w:color w:val="000000"/>
                <w:kern w:val="0"/>
                <w:sz w:val="20"/>
                <w:szCs w:val="20"/>
              </w:rPr>
            </w:pPr>
          </w:p>
        </w:tc>
        <w:tc>
          <w:tcPr>
            <w:tcW w:w="602" w:type="pct"/>
            <w:tcBorders>
              <w:top w:val="nil"/>
              <w:left w:val="nil"/>
              <w:bottom w:val="single" w:color="auto" w:sz="4" w:space="0"/>
              <w:right w:val="single" w:color="auto" w:sz="4" w:space="0"/>
            </w:tcBorders>
            <w:shd w:val="clear" w:color="auto" w:fill="auto"/>
            <w:vAlign w:val="center"/>
          </w:tcPr>
          <w:p w14:paraId="2A8E27ED">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1项/年</w:t>
            </w:r>
          </w:p>
        </w:tc>
        <w:tc>
          <w:tcPr>
            <w:tcW w:w="1966" w:type="pct"/>
            <w:tcBorders>
              <w:top w:val="nil"/>
              <w:left w:val="nil"/>
              <w:bottom w:val="single" w:color="auto" w:sz="4" w:space="0"/>
              <w:right w:val="single" w:color="auto" w:sz="4" w:space="0"/>
            </w:tcBorders>
            <w:shd w:val="clear" w:color="auto" w:fill="auto"/>
            <w:vAlign w:val="center"/>
          </w:tcPr>
          <w:p w14:paraId="41890E16">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每年提供1次以上的原厂免费技术培训服务，保障其顺利设备升级，并在技术培训时提供相应文档。</w:t>
            </w:r>
          </w:p>
        </w:tc>
        <w:tc>
          <w:tcPr>
            <w:tcW w:w="1323" w:type="pct"/>
            <w:tcBorders>
              <w:top w:val="nil"/>
              <w:left w:val="nil"/>
              <w:bottom w:val="single" w:color="auto" w:sz="4" w:space="0"/>
              <w:right w:val="single" w:color="auto" w:sz="4" w:space="0"/>
            </w:tcBorders>
            <w:shd w:val="clear" w:color="auto" w:fill="auto"/>
            <w:noWrap/>
            <w:vAlign w:val="center"/>
          </w:tcPr>
          <w:p w14:paraId="01C011FE">
            <w:pPr>
              <w:widowControl/>
              <w:spacing w:line="240" w:lineRule="auto"/>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bl>
    <w:p w14:paraId="715F9EBD">
      <w:pPr>
        <w:pStyle w:val="15"/>
        <w:jc w:val="center"/>
      </w:pPr>
    </w:p>
    <w:p w14:paraId="124666C9">
      <w:pPr>
        <w:pStyle w:val="3"/>
        <w:jc w:val="center"/>
      </w:pPr>
      <w:r>
        <w:rPr>
          <w:rFonts w:hint="eastAsia"/>
        </w:rPr>
        <w:t>评分标准</w:t>
      </w:r>
    </w:p>
    <w:p w14:paraId="271DB964">
      <w:bookmarkStart w:id="1" w:name="_Toc35393636"/>
      <w:bookmarkStart w:id="2" w:name="_Toc28359018"/>
      <w:bookmarkStart w:id="3" w:name="_Toc28359095"/>
      <w:bookmarkStart w:id="4" w:name="_Hlk37429674"/>
      <w:bookmarkStart w:id="5" w:name="_Toc44229885"/>
      <w:bookmarkStart w:id="6" w:name="_Toc35393805"/>
      <w:bookmarkStart w:id="7" w:name="_Hlk37430271"/>
      <w:r>
        <w:rPr>
          <w:rFonts w:hint="eastAsia"/>
        </w:rPr>
        <w:t>一、申请人的资格条件：</w:t>
      </w:r>
    </w:p>
    <w:p w14:paraId="13FC3CF2">
      <w:r>
        <w:rPr>
          <w:rFonts w:hint="eastAsia"/>
        </w:rPr>
        <w:t>1.满足《中华人民共和国政府采购法》第二十二条规定；</w:t>
      </w:r>
    </w:p>
    <w:p w14:paraId="46AB1F6B">
      <w:r>
        <w:rPr>
          <w:rFonts w:hint="eastAsia"/>
        </w:rPr>
        <w:t>2.本项目的特定资格要求：国内注册（指按国家有关规定要求注册的）生产或经营本次采购货物和服务的能力和资质的供应商；属于银行、保险、石油石化、电力、电信等行业特殊情况的，取得营业执照的分支机构可以以分公司名义参与本项目</w:t>
      </w:r>
      <w:r>
        <w:rPr>
          <w:rFonts w:hint="eastAsia"/>
          <w:lang w:val="en-US" w:eastAsia="zh-CN"/>
        </w:rPr>
        <w:t>响应</w:t>
      </w:r>
      <w:r>
        <w:rPr>
          <w:rFonts w:hint="eastAsia"/>
        </w:rPr>
        <w:t>，分支机构应提供总公司出具的参与授权委托书或承诺函，但总公司和分支机构不能参加同一合同项下的采购活动，文件中涉及的“法定代表人”在前述特殊行业中即对应为“分支机构负责人”。</w:t>
      </w:r>
      <w:bookmarkEnd w:id="1"/>
      <w:bookmarkEnd w:id="2"/>
      <w:bookmarkEnd w:id="3"/>
      <w:bookmarkEnd w:id="4"/>
      <w:bookmarkEnd w:id="5"/>
      <w:bookmarkEnd w:id="6"/>
      <w:bookmarkEnd w:id="7"/>
    </w:p>
    <w:p w14:paraId="53BE085E">
      <w:r>
        <w:rPr>
          <w:rFonts w:hint="eastAsia"/>
        </w:rPr>
        <w:t>二、评审标准</w:t>
      </w:r>
    </w:p>
    <w:p w14:paraId="44D2F47C">
      <w:r>
        <w:rPr>
          <w:rFonts w:hint="eastAsia"/>
        </w:rPr>
        <w:t>评审依据：评审小组将以响应文件为评审依据，对供应商的报价、商务、技术要求等方面内容按百分制打分。（计分方法按四舍五入取至百分位）</w:t>
      </w:r>
    </w:p>
    <w:tbl>
      <w:tblPr>
        <w:tblStyle w:val="1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850"/>
        <w:gridCol w:w="1221"/>
        <w:gridCol w:w="6494"/>
      </w:tblGrid>
      <w:tr w14:paraId="101F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gridSpan w:val="2"/>
            <w:tcBorders>
              <w:top w:val="single" w:color="auto" w:sz="4" w:space="0"/>
              <w:left w:val="single" w:color="auto" w:sz="4" w:space="0"/>
              <w:bottom w:val="single" w:color="auto" w:sz="4" w:space="0"/>
              <w:right w:val="single" w:color="auto" w:sz="4" w:space="0"/>
            </w:tcBorders>
            <w:noWrap/>
            <w:vAlign w:val="center"/>
          </w:tcPr>
          <w:p w14:paraId="7721B185">
            <w:pPr>
              <w:jc w:val="center"/>
              <w:rPr>
                <w:b/>
                <w:bCs/>
              </w:rPr>
            </w:pPr>
            <w:r>
              <w:rPr>
                <w:rFonts w:hint="eastAsia"/>
                <w:b/>
                <w:bCs/>
              </w:rPr>
              <w:t>序号</w:t>
            </w:r>
          </w:p>
        </w:tc>
        <w:tc>
          <w:tcPr>
            <w:tcW w:w="1221" w:type="dxa"/>
            <w:tcBorders>
              <w:top w:val="single" w:color="auto" w:sz="4" w:space="0"/>
              <w:left w:val="single" w:color="auto" w:sz="4" w:space="0"/>
              <w:bottom w:val="single" w:color="auto" w:sz="4" w:space="0"/>
              <w:right w:val="single" w:color="auto" w:sz="4" w:space="0"/>
            </w:tcBorders>
            <w:noWrap/>
            <w:vAlign w:val="center"/>
          </w:tcPr>
          <w:p w14:paraId="7E465F13">
            <w:pPr>
              <w:jc w:val="center"/>
              <w:rPr>
                <w:b/>
                <w:bCs/>
              </w:rPr>
            </w:pPr>
            <w:r>
              <w:rPr>
                <w:rFonts w:hint="eastAsia"/>
                <w:b/>
                <w:bCs/>
              </w:rPr>
              <w:t>评分因素</w:t>
            </w:r>
          </w:p>
        </w:tc>
        <w:tc>
          <w:tcPr>
            <w:tcW w:w="6494" w:type="dxa"/>
            <w:tcBorders>
              <w:top w:val="single" w:color="auto" w:sz="4" w:space="0"/>
              <w:left w:val="single" w:color="auto" w:sz="4" w:space="0"/>
              <w:bottom w:val="single" w:color="auto" w:sz="4" w:space="0"/>
              <w:right w:val="single" w:color="auto" w:sz="4" w:space="0"/>
            </w:tcBorders>
            <w:noWrap/>
            <w:vAlign w:val="center"/>
          </w:tcPr>
          <w:p w14:paraId="2FC7D297">
            <w:pPr>
              <w:jc w:val="center"/>
              <w:rPr>
                <w:b/>
                <w:bCs/>
              </w:rPr>
            </w:pPr>
            <w:r>
              <w:rPr>
                <w:rFonts w:hint="eastAsia"/>
                <w:b/>
                <w:bCs/>
              </w:rPr>
              <w:t>评分标准</w:t>
            </w:r>
          </w:p>
        </w:tc>
      </w:tr>
      <w:tr w14:paraId="0AB7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Borders>
              <w:top w:val="single" w:color="auto" w:sz="4" w:space="0"/>
              <w:left w:val="single" w:color="auto" w:sz="4" w:space="0"/>
              <w:bottom w:val="single" w:color="auto" w:sz="4" w:space="0"/>
              <w:right w:val="single" w:color="auto" w:sz="4" w:space="0"/>
            </w:tcBorders>
            <w:noWrap/>
            <w:vAlign w:val="center"/>
          </w:tcPr>
          <w:p w14:paraId="076E47E6">
            <w:pPr>
              <w:spacing w:line="240" w:lineRule="auto"/>
              <w:rPr>
                <w:sz w:val="21"/>
                <w:szCs w:val="21"/>
              </w:rPr>
            </w:pPr>
            <w:r>
              <w:rPr>
                <w:rFonts w:hint="eastAsia"/>
                <w:sz w:val="21"/>
                <w:szCs w:val="21"/>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2A7B124F">
            <w:pPr>
              <w:spacing w:line="240" w:lineRule="auto"/>
              <w:jc w:val="center"/>
              <w:rPr>
                <w:sz w:val="21"/>
                <w:szCs w:val="21"/>
              </w:rPr>
            </w:pPr>
            <w:r>
              <w:rPr>
                <w:rFonts w:hint="eastAsia"/>
                <w:sz w:val="21"/>
                <w:szCs w:val="21"/>
              </w:rPr>
              <w:t>价格分</w:t>
            </w:r>
          </w:p>
          <w:p w14:paraId="5B98F39A">
            <w:pPr>
              <w:spacing w:line="240" w:lineRule="auto"/>
              <w:jc w:val="center"/>
              <w:rPr>
                <w:sz w:val="21"/>
                <w:szCs w:val="21"/>
              </w:rPr>
            </w:pPr>
            <w:r>
              <w:rPr>
                <w:rFonts w:hint="eastAsia"/>
                <w:sz w:val="21"/>
                <w:szCs w:val="21"/>
              </w:rPr>
              <w:t>（满分20分）</w:t>
            </w:r>
          </w:p>
        </w:tc>
        <w:tc>
          <w:tcPr>
            <w:tcW w:w="1221" w:type="dxa"/>
            <w:tcBorders>
              <w:top w:val="single" w:color="auto" w:sz="4" w:space="0"/>
              <w:left w:val="single" w:color="auto" w:sz="4" w:space="0"/>
              <w:bottom w:val="single" w:color="auto" w:sz="4" w:space="0"/>
              <w:right w:val="single" w:color="auto" w:sz="4" w:space="0"/>
            </w:tcBorders>
            <w:noWrap/>
            <w:vAlign w:val="center"/>
          </w:tcPr>
          <w:p w14:paraId="423ACD13">
            <w:pPr>
              <w:spacing w:line="240" w:lineRule="auto"/>
              <w:jc w:val="center"/>
              <w:rPr>
                <w:sz w:val="21"/>
                <w:szCs w:val="21"/>
              </w:rPr>
            </w:pPr>
            <w:r>
              <w:rPr>
                <w:rFonts w:hint="eastAsia"/>
                <w:sz w:val="21"/>
                <w:szCs w:val="21"/>
              </w:rPr>
              <w:t>报价（20分）</w:t>
            </w:r>
          </w:p>
        </w:tc>
        <w:tc>
          <w:tcPr>
            <w:tcW w:w="6494" w:type="dxa"/>
            <w:tcBorders>
              <w:top w:val="single" w:color="auto" w:sz="4" w:space="0"/>
              <w:left w:val="single" w:color="auto" w:sz="4" w:space="0"/>
              <w:bottom w:val="single" w:color="auto" w:sz="4" w:space="0"/>
              <w:right w:val="single" w:color="auto" w:sz="4" w:space="0"/>
            </w:tcBorders>
            <w:noWrap/>
            <w:vAlign w:val="center"/>
          </w:tcPr>
          <w:p w14:paraId="6C794A9D">
            <w:pPr>
              <w:spacing w:line="240" w:lineRule="auto"/>
              <w:rPr>
                <w:sz w:val="21"/>
                <w:szCs w:val="21"/>
              </w:rPr>
            </w:pPr>
            <w:r>
              <w:rPr>
                <w:rFonts w:hint="eastAsia"/>
                <w:sz w:val="21"/>
                <w:szCs w:val="21"/>
              </w:rPr>
              <w:t>价格分采用低价优先法计算，即满足响应文件最低的报价为基准价，其价格分为满分。其他报价的价格分统一按照下列公式计算：</w:t>
            </w:r>
          </w:p>
          <w:p w14:paraId="0FDAF5E1">
            <w:pPr>
              <w:spacing w:line="240" w:lineRule="auto"/>
              <w:rPr>
                <w:sz w:val="21"/>
                <w:szCs w:val="21"/>
              </w:rPr>
            </w:pPr>
            <w:r>
              <w:rPr>
                <w:rFonts w:hint="eastAsia"/>
                <w:sz w:val="21"/>
                <w:szCs w:val="21"/>
              </w:rPr>
              <w:t>响应单位报价分=（评标基准价／评标报价）×20分</w:t>
            </w:r>
          </w:p>
        </w:tc>
      </w:tr>
      <w:tr w14:paraId="4FDA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615" w:type="dxa"/>
            <w:vMerge w:val="restart"/>
            <w:tcBorders>
              <w:top w:val="single" w:color="auto" w:sz="4" w:space="0"/>
              <w:left w:val="single" w:color="auto" w:sz="4" w:space="0"/>
              <w:right w:val="single" w:color="auto" w:sz="4" w:space="0"/>
            </w:tcBorders>
            <w:noWrap/>
            <w:vAlign w:val="center"/>
          </w:tcPr>
          <w:p w14:paraId="018BB56E">
            <w:pPr>
              <w:spacing w:line="240" w:lineRule="auto"/>
              <w:rPr>
                <w:sz w:val="21"/>
                <w:szCs w:val="21"/>
              </w:rPr>
            </w:pPr>
            <w:r>
              <w:rPr>
                <w:rFonts w:hint="eastAsia"/>
                <w:sz w:val="21"/>
                <w:szCs w:val="21"/>
              </w:rPr>
              <w:t>2</w:t>
            </w:r>
          </w:p>
        </w:tc>
        <w:tc>
          <w:tcPr>
            <w:tcW w:w="850" w:type="dxa"/>
            <w:vMerge w:val="restart"/>
            <w:tcBorders>
              <w:top w:val="single" w:color="auto" w:sz="4" w:space="0"/>
              <w:left w:val="single" w:color="auto" w:sz="4" w:space="0"/>
              <w:right w:val="single" w:color="auto" w:sz="4" w:space="0"/>
            </w:tcBorders>
            <w:noWrap/>
            <w:vAlign w:val="center"/>
          </w:tcPr>
          <w:p w14:paraId="1683535C">
            <w:pPr>
              <w:spacing w:line="240" w:lineRule="auto"/>
              <w:jc w:val="center"/>
              <w:rPr>
                <w:sz w:val="21"/>
                <w:szCs w:val="21"/>
              </w:rPr>
            </w:pPr>
            <w:r>
              <w:rPr>
                <w:rFonts w:hint="eastAsia"/>
                <w:sz w:val="21"/>
                <w:szCs w:val="21"/>
              </w:rPr>
              <w:t>技术分</w:t>
            </w:r>
          </w:p>
          <w:p w14:paraId="50F223D7">
            <w:pPr>
              <w:spacing w:line="240" w:lineRule="auto"/>
              <w:jc w:val="center"/>
              <w:rPr>
                <w:sz w:val="21"/>
                <w:szCs w:val="21"/>
              </w:rPr>
            </w:pPr>
            <w:r>
              <w:rPr>
                <w:rFonts w:hint="eastAsia"/>
                <w:sz w:val="21"/>
                <w:szCs w:val="21"/>
              </w:rPr>
              <w:t>（满分60分）</w:t>
            </w:r>
          </w:p>
        </w:tc>
        <w:tc>
          <w:tcPr>
            <w:tcW w:w="1221" w:type="dxa"/>
            <w:tcBorders>
              <w:top w:val="single" w:color="auto" w:sz="4" w:space="0"/>
              <w:left w:val="single" w:color="auto" w:sz="4" w:space="0"/>
              <w:right w:val="single" w:color="auto" w:sz="4" w:space="0"/>
            </w:tcBorders>
            <w:noWrap/>
            <w:vAlign w:val="center"/>
          </w:tcPr>
          <w:p w14:paraId="4B8ABB31">
            <w:pPr>
              <w:spacing w:line="240" w:lineRule="auto"/>
              <w:jc w:val="center"/>
              <w:rPr>
                <w:sz w:val="21"/>
                <w:szCs w:val="21"/>
              </w:rPr>
            </w:pPr>
            <w:r>
              <w:rPr>
                <w:rFonts w:hint="eastAsia"/>
                <w:sz w:val="21"/>
                <w:szCs w:val="21"/>
              </w:rPr>
              <w:t>基本分（10分）</w:t>
            </w:r>
          </w:p>
        </w:tc>
        <w:tc>
          <w:tcPr>
            <w:tcW w:w="6494" w:type="dxa"/>
            <w:tcBorders>
              <w:top w:val="single" w:color="auto" w:sz="4" w:space="0"/>
              <w:left w:val="single" w:color="auto" w:sz="4" w:space="0"/>
              <w:bottom w:val="single" w:color="auto" w:sz="4" w:space="0"/>
              <w:right w:val="single" w:color="auto" w:sz="4" w:space="0"/>
            </w:tcBorders>
            <w:noWrap/>
            <w:vAlign w:val="center"/>
          </w:tcPr>
          <w:p w14:paraId="676D9E7F">
            <w:pPr>
              <w:spacing w:line="240" w:lineRule="auto"/>
              <w:rPr>
                <w:sz w:val="21"/>
                <w:szCs w:val="21"/>
              </w:rPr>
            </w:pPr>
            <w:r>
              <w:rPr>
                <w:rFonts w:hint="eastAsia"/>
                <w:sz w:val="21"/>
                <w:szCs w:val="21"/>
              </w:rPr>
              <w:t>所有进入详细评审的供应商得基本分10分，</w:t>
            </w:r>
            <w:r>
              <w:rPr>
                <w:rFonts w:hint="eastAsia"/>
                <w:sz w:val="21"/>
                <w:szCs w:val="21"/>
                <w:lang w:val="en-US" w:eastAsia="zh-CN"/>
              </w:rPr>
              <w:t>所有服务</w:t>
            </w:r>
            <w:r>
              <w:rPr>
                <w:rFonts w:hint="eastAsia"/>
                <w:sz w:val="21"/>
                <w:szCs w:val="21"/>
              </w:rPr>
              <w:t>要求(未标注▲号参数指标)负偏离一项的在基本分基础上扣3分，漏项视为负偏离，扣完为止。</w:t>
            </w:r>
          </w:p>
        </w:tc>
      </w:tr>
      <w:tr w14:paraId="5CA1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tcBorders>
              <w:left w:val="single" w:color="auto" w:sz="4" w:space="0"/>
              <w:right w:val="single" w:color="auto" w:sz="4" w:space="0"/>
            </w:tcBorders>
            <w:noWrap/>
            <w:vAlign w:val="center"/>
          </w:tcPr>
          <w:p w14:paraId="73AD1E30">
            <w:pPr>
              <w:spacing w:line="240" w:lineRule="auto"/>
              <w:rPr>
                <w:sz w:val="21"/>
                <w:szCs w:val="21"/>
              </w:rPr>
            </w:pPr>
          </w:p>
        </w:tc>
        <w:tc>
          <w:tcPr>
            <w:tcW w:w="850" w:type="dxa"/>
            <w:vMerge w:val="continue"/>
            <w:tcBorders>
              <w:left w:val="single" w:color="auto" w:sz="4" w:space="0"/>
              <w:right w:val="single" w:color="auto" w:sz="4" w:space="0"/>
            </w:tcBorders>
            <w:noWrap/>
            <w:vAlign w:val="center"/>
          </w:tcPr>
          <w:p w14:paraId="14FDC246">
            <w:pPr>
              <w:spacing w:line="240" w:lineRule="auto"/>
              <w:rPr>
                <w:sz w:val="21"/>
                <w:szCs w:val="21"/>
              </w:rPr>
            </w:pPr>
          </w:p>
        </w:tc>
        <w:tc>
          <w:tcPr>
            <w:tcW w:w="1221" w:type="dxa"/>
            <w:tcBorders>
              <w:top w:val="single" w:color="auto" w:sz="4" w:space="0"/>
              <w:left w:val="single" w:color="auto" w:sz="4" w:space="0"/>
              <w:right w:val="single" w:color="auto" w:sz="4" w:space="0"/>
            </w:tcBorders>
            <w:noWrap/>
            <w:vAlign w:val="center"/>
          </w:tcPr>
          <w:p w14:paraId="56074366">
            <w:pPr>
              <w:spacing w:line="240" w:lineRule="auto"/>
              <w:jc w:val="center"/>
              <w:rPr>
                <w:sz w:val="21"/>
                <w:szCs w:val="21"/>
              </w:rPr>
            </w:pPr>
            <w:r>
              <w:rPr>
                <w:rFonts w:hint="eastAsia"/>
                <w:sz w:val="21"/>
                <w:szCs w:val="21"/>
              </w:rPr>
              <w:t>维护保养实施方案（16分）</w:t>
            </w:r>
          </w:p>
        </w:tc>
        <w:tc>
          <w:tcPr>
            <w:tcW w:w="6494" w:type="dxa"/>
            <w:tcBorders>
              <w:top w:val="single" w:color="auto" w:sz="4" w:space="0"/>
              <w:left w:val="single" w:color="auto" w:sz="4" w:space="0"/>
              <w:bottom w:val="single" w:color="auto" w:sz="4" w:space="0"/>
              <w:right w:val="single" w:color="auto" w:sz="4" w:space="0"/>
            </w:tcBorders>
            <w:noWrap/>
            <w:vAlign w:val="center"/>
          </w:tcPr>
          <w:p w14:paraId="6C058865">
            <w:pPr>
              <w:spacing w:line="240" w:lineRule="auto"/>
              <w:rPr>
                <w:sz w:val="21"/>
                <w:szCs w:val="21"/>
              </w:rPr>
            </w:pPr>
            <w:r>
              <w:rPr>
                <w:rFonts w:hint="eastAsia"/>
                <w:sz w:val="21"/>
                <w:szCs w:val="21"/>
              </w:rPr>
              <w:t>由评审小组根据供应商的维护保养实施方案与需求的吻合程度以及对</w:t>
            </w:r>
            <w:r>
              <w:rPr>
                <w:rFonts w:hint="eastAsia"/>
                <w:sz w:val="21"/>
                <w:szCs w:val="21"/>
                <w:lang w:val="en-US" w:eastAsia="zh-CN"/>
              </w:rPr>
              <w:t>医院方</w:t>
            </w:r>
            <w:r>
              <w:rPr>
                <w:rFonts w:hint="eastAsia"/>
                <w:sz w:val="21"/>
                <w:szCs w:val="21"/>
              </w:rPr>
              <w:t>现有设备的熟悉和理解情况，所制定方案的科学性、可靠性、成熟性、合理性的情况（包括：故障分级管理，故障系统质量管理，故障报告，故障处理规范等）进行评定：</w:t>
            </w:r>
          </w:p>
          <w:p w14:paraId="4566AEB9">
            <w:pPr>
              <w:spacing w:line="240" w:lineRule="auto"/>
              <w:rPr>
                <w:sz w:val="21"/>
                <w:szCs w:val="21"/>
              </w:rPr>
            </w:pPr>
            <w:r>
              <w:rPr>
                <w:rFonts w:hint="eastAsia"/>
                <w:sz w:val="21"/>
                <w:szCs w:val="21"/>
              </w:rPr>
              <w:t>一档（8分）：提供了维护保养实施方案，故障分级管理，故障系统质量管理，故障报告，故障处理规范等内容齐全但具体措施不明确，项目保障性不强。</w:t>
            </w:r>
          </w:p>
          <w:p w14:paraId="30495A30">
            <w:pPr>
              <w:spacing w:line="240" w:lineRule="auto"/>
              <w:rPr>
                <w:sz w:val="21"/>
                <w:szCs w:val="21"/>
              </w:rPr>
            </w:pPr>
            <w:r>
              <w:rPr>
                <w:rFonts w:hint="eastAsia"/>
                <w:sz w:val="21"/>
                <w:szCs w:val="21"/>
              </w:rPr>
              <w:t>二档（12分）：提供了维护保养实施方案，故障分级管理，故障系统质量管理，故障报告，故障处理规范等内容齐全、措施考虑周全，有可行性、保障性。有软硬件故障及时排除的对策，但对运行服务保障应急预案及实施过程可能遇到的问题及其应对措施的阐述不明确或措施过于单一。</w:t>
            </w:r>
          </w:p>
          <w:p w14:paraId="21E45836">
            <w:pPr>
              <w:spacing w:line="240" w:lineRule="auto"/>
              <w:rPr>
                <w:sz w:val="21"/>
                <w:szCs w:val="21"/>
              </w:rPr>
            </w:pPr>
            <w:r>
              <w:rPr>
                <w:rFonts w:hint="eastAsia"/>
                <w:sz w:val="21"/>
                <w:szCs w:val="21"/>
              </w:rPr>
              <w:t>三档（16分）：提供了维护保养实施方案，故障分级管理，故障系统质量管理，故障报告，故障处理规范等内容齐全、措施考虑周全，阐述详细明确，有利于采购项目实施其它措施内容和建议，项目实施的可行性、保障性强。软硬件故障及时排除的对策有针对性，能提供有针对性的运行服务保障应急预案，并且实施过程可能遇到的问题及其应对措施合理，措施考虑到位。</w:t>
            </w:r>
          </w:p>
        </w:tc>
      </w:tr>
      <w:tr w14:paraId="0F91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15" w:type="dxa"/>
            <w:vMerge w:val="continue"/>
            <w:tcBorders>
              <w:left w:val="single" w:color="auto" w:sz="4" w:space="0"/>
              <w:right w:val="single" w:color="auto" w:sz="4" w:space="0"/>
            </w:tcBorders>
            <w:noWrap/>
            <w:vAlign w:val="center"/>
          </w:tcPr>
          <w:p w14:paraId="649A0FFF">
            <w:pPr>
              <w:spacing w:line="240" w:lineRule="auto"/>
              <w:rPr>
                <w:sz w:val="21"/>
                <w:szCs w:val="21"/>
              </w:rPr>
            </w:pPr>
          </w:p>
        </w:tc>
        <w:tc>
          <w:tcPr>
            <w:tcW w:w="850" w:type="dxa"/>
            <w:vMerge w:val="continue"/>
            <w:tcBorders>
              <w:left w:val="single" w:color="auto" w:sz="4" w:space="0"/>
              <w:right w:val="single" w:color="auto" w:sz="4" w:space="0"/>
            </w:tcBorders>
            <w:noWrap/>
            <w:vAlign w:val="center"/>
          </w:tcPr>
          <w:p w14:paraId="302AEC4D">
            <w:pPr>
              <w:spacing w:line="240" w:lineRule="auto"/>
              <w:rPr>
                <w:sz w:val="21"/>
                <w:szCs w:val="21"/>
              </w:rPr>
            </w:pPr>
          </w:p>
        </w:tc>
        <w:tc>
          <w:tcPr>
            <w:tcW w:w="1221" w:type="dxa"/>
            <w:tcBorders>
              <w:top w:val="single" w:color="auto" w:sz="4" w:space="0"/>
              <w:left w:val="single" w:color="auto" w:sz="4" w:space="0"/>
              <w:right w:val="single" w:color="auto" w:sz="4" w:space="0"/>
            </w:tcBorders>
            <w:noWrap/>
            <w:vAlign w:val="center"/>
          </w:tcPr>
          <w:p w14:paraId="28C8BE12">
            <w:pPr>
              <w:spacing w:line="240" w:lineRule="auto"/>
              <w:jc w:val="center"/>
              <w:rPr>
                <w:sz w:val="21"/>
                <w:szCs w:val="21"/>
              </w:rPr>
            </w:pPr>
            <w:r>
              <w:rPr>
                <w:rFonts w:hint="eastAsia"/>
                <w:sz w:val="21"/>
                <w:szCs w:val="21"/>
              </w:rPr>
              <w:t>定期巡检、应急处理的报告和制度</w:t>
            </w:r>
          </w:p>
          <w:p w14:paraId="303684B3">
            <w:pPr>
              <w:spacing w:line="240" w:lineRule="auto"/>
              <w:jc w:val="center"/>
              <w:rPr>
                <w:sz w:val="21"/>
                <w:szCs w:val="21"/>
              </w:rPr>
            </w:pPr>
            <w:r>
              <w:rPr>
                <w:rFonts w:hint="eastAsia"/>
                <w:sz w:val="21"/>
                <w:szCs w:val="21"/>
              </w:rPr>
              <w:t>（16分）</w:t>
            </w:r>
          </w:p>
        </w:tc>
        <w:tc>
          <w:tcPr>
            <w:tcW w:w="6494" w:type="dxa"/>
            <w:tcBorders>
              <w:top w:val="single" w:color="auto" w:sz="4" w:space="0"/>
              <w:left w:val="single" w:color="auto" w:sz="4" w:space="0"/>
              <w:right w:val="single" w:color="auto" w:sz="4" w:space="0"/>
            </w:tcBorders>
            <w:noWrap/>
            <w:vAlign w:val="center"/>
          </w:tcPr>
          <w:p w14:paraId="621D6EE6">
            <w:pPr>
              <w:spacing w:line="240" w:lineRule="auto"/>
              <w:rPr>
                <w:sz w:val="21"/>
                <w:szCs w:val="21"/>
              </w:rPr>
            </w:pPr>
            <w:r>
              <w:rPr>
                <w:rFonts w:hint="eastAsia"/>
                <w:sz w:val="21"/>
                <w:szCs w:val="21"/>
              </w:rPr>
              <w:t>由评审小组根据供应商是否建立定期巡检制度、应急处理的情况报告制度，定期出具巡检和设备运行情况报告；是否建立服务档案和解决方案资料库的情况进行评定：</w:t>
            </w:r>
          </w:p>
          <w:p w14:paraId="5F61133C">
            <w:pPr>
              <w:spacing w:line="240" w:lineRule="auto"/>
              <w:rPr>
                <w:sz w:val="21"/>
                <w:szCs w:val="21"/>
              </w:rPr>
            </w:pPr>
            <w:r>
              <w:rPr>
                <w:rFonts w:hint="eastAsia"/>
                <w:sz w:val="21"/>
                <w:szCs w:val="21"/>
              </w:rPr>
              <w:t>一档（8分）：缺乏定期巡检制度和设备运行情况报告制度，服务档案和解决方案资料库缺失或不全；系统故障的排除及运行服务保障应急预案的考虑不全面，保障性不强。</w:t>
            </w:r>
          </w:p>
          <w:p w14:paraId="4DFE771C">
            <w:pPr>
              <w:spacing w:line="240" w:lineRule="auto"/>
              <w:rPr>
                <w:sz w:val="21"/>
                <w:szCs w:val="21"/>
              </w:rPr>
            </w:pPr>
            <w:r>
              <w:rPr>
                <w:rFonts w:hint="eastAsia"/>
                <w:sz w:val="21"/>
                <w:szCs w:val="21"/>
              </w:rPr>
              <w:t>二档（12分）：基本明确定期巡检制度和设备运行情况报告制度，定期出具巡检和设备运行情况报告；系统故障及时排除的对策较详细，能提供运行服务保障应急预案，并且实施过程可能遇到的问题及其应对措施较合理。</w:t>
            </w:r>
          </w:p>
          <w:p w14:paraId="10F02F97">
            <w:pPr>
              <w:spacing w:line="240" w:lineRule="auto"/>
              <w:rPr>
                <w:sz w:val="21"/>
                <w:szCs w:val="21"/>
              </w:rPr>
            </w:pPr>
            <w:r>
              <w:rPr>
                <w:rFonts w:hint="eastAsia"/>
                <w:sz w:val="21"/>
                <w:szCs w:val="21"/>
              </w:rPr>
              <w:t>三档（16分）：已建立内容详细，操作规范，具体明确到实际操作的定期巡检制度和设备运行情况报告制度，定期出具原厂商的设备巡检报告和设备运行情况报告并已建立保持更新的服务档案和解决方案资料库；系统故障及时排除的对策具体可行，能提供有针对性的运行服务保障应急预案，并且实施过程可能遇到的问题及其应对措施合理，能较为详细提供应急演练计划。</w:t>
            </w:r>
          </w:p>
        </w:tc>
      </w:tr>
      <w:tr w14:paraId="613B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615" w:type="dxa"/>
            <w:vMerge w:val="continue"/>
            <w:tcBorders>
              <w:left w:val="single" w:color="auto" w:sz="4" w:space="0"/>
              <w:right w:val="single" w:color="auto" w:sz="4" w:space="0"/>
            </w:tcBorders>
            <w:noWrap/>
            <w:vAlign w:val="center"/>
          </w:tcPr>
          <w:p w14:paraId="0E748C9F">
            <w:pPr>
              <w:spacing w:line="240" w:lineRule="auto"/>
              <w:rPr>
                <w:sz w:val="21"/>
                <w:szCs w:val="21"/>
              </w:rPr>
            </w:pPr>
          </w:p>
        </w:tc>
        <w:tc>
          <w:tcPr>
            <w:tcW w:w="850" w:type="dxa"/>
            <w:vMerge w:val="continue"/>
            <w:tcBorders>
              <w:left w:val="single" w:color="auto" w:sz="4" w:space="0"/>
              <w:right w:val="single" w:color="auto" w:sz="4" w:space="0"/>
            </w:tcBorders>
            <w:noWrap/>
            <w:vAlign w:val="center"/>
          </w:tcPr>
          <w:p w14:paraId="0CD7DC71">
            <w:pPr>
              <w:spacing w:line="240" w:lineRule="auto"/>
              <w:rPr>
                <w:sz w:val="21"/>
                <w:szCs w:val="21"/>
              </w:rPr>
            </w:pPr>
          </w:p>
        </w:tc>
        <w:tc>
          <w:tcPr>
            <w:tcW w:w="1221" w:type="dxa"/>
            <w:tcBorders>
              <w:left w:val="single" w:color="auto" w:sz="4" w:space="0"/>
              <w:right w:val="single" w:color="auto" w:sz="4" w:space="0"/>
            </w:tcBorders>
            <w:noWrap/>
            <w:vAlign w:val="center"/>
          </w:tcPr>
          <w:p w14:paraId="3D477F61">
            <w:pPr>
              <w:spacing w:line="240" w:lineRule="auto"/>
              <w:jc w:val="center"/>
              <w:rPr>
                <w:sz w:val="21"/>
                <w:szCs w:val="21"/>
              </w:rPr>
            </w:pPr>
            <w:r>
              <w:rPr>
                <w:rFonts w:hint="eastAsia"/>
                <w:sz w:val="21"/>
                <w:szCs w:val="21"/>
              </w:rPr>
              <w:t>人员技术储备分（18分）</w:t>
            </w:r>
          </w:p>
        </w:tc>
        <w:tc>
          <w:tcPr>
            <w:tcW w:w="6494" w:type="dxa"/>
            <w:tcBorders>
              <w:top w:val="single" w:color="auto" w:sz="4" w:space="0"/>
              <w:left w:val="single" w:color="auto" w:sz="4" w:space="0"/>
              <w:right w:val="single" w:color="auto" w:sz="4" w:space="0"/>
            </w:tcBorders>
            <w:noWrap/>
            <w:vAlign w:val="center"/>
          </w:tcPr>
          <w:p w14:paraId="670D8C21">
            <w:pPr>
              <w:spacing w:line="240" w:lineRule="auto"/>
              <w:rPr>
                <w:sz w:val="21"/>
                <w:szCs w:val="21"/>
              </w:rPr>
            </w:pPr>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rPr>
              <w:t>拟投入1名项目负责人</w:t>
            </w:r>
            <w:bookmarkStart w:id="8" w:name="_GoBack"/>
            <w:bookmarkEnd w:id="8"/>
            <w:r>
              <w:rPr>
                <w:rFonts w:hint="eastAsia"/>
                <w:sz w:val="21"/>
                <w:szCs w:val="21"/>
              </w:rPr>
              <w:t>具备信息系统项目管理师专业技术资格证书和通信专业技术人员职业资格（互联网技术）证书；得6分，满分6分；</w:t>
            </w:r>
          </w:p>
          <w:p w14:paraId="7DD311E9">
            <w:pPr>
              <w:spacing w:line="240" w:lineRule="auto"/>
              <w:rPr>
                <w:sz w:val="21"/>
                <w:szCs w:val="21"/>
              </w:rPr>
            </w:pPr>
            <w:r>
              <w:rPr>
                <w:rFonts w:hint="eastAsia"/>
                <w:sz w:val="21"/>
                <w:szCs w:val="21"/>
              </w:rPr>
              <w:t>（2）拟投入1名售后负责人同时具备信息与通信工程副高级以上职称证书、信息系统项目管理师证书和通信专业技术人员职业资格（互联网技术）证书；得6分，满分6分；</w:t>
            </w:r>
          </w:p>
          <w:p w14:paraId="6EFA0FDA">
            <w:pPr>
              <w:spacing w:line="240" w:lineRule="auto"/>
              <w:rPr>
                <w:sz w:val="21"/>
                <w:szCs w:val="21"/>
              </w:rPr>
            </w:pPr>
            <w:r>
              <w:rPr>
                <w:rFonts w:hint="eastAsia"/>
                <w:sz w:val="21"/>
                <w:szCs w:val="21"/>
              </w:rPr>
              <w:t>（3）拟投入实施的人员中：通过计算机技术与软件专业技术资格（水平）考试，取得与网络规划相关中级（网络工程师）或高级（网络规划设计师）证书的，每有1人得1分，满分3分；</w:t>
            </w:r>
          </w:p>
          <w:p w14:paraId="7A2DCF3B">
            <w:pPr>
              <w:spacing w:line="240" w:lineRule="auto"/>
              <w:rPr>
                <w:sz w:val="21"/>
                <w:szCs w:val="21"/>
              </w:rPr>
            </w:pPr>
            <w:r>
              <w:rPr>
                <w:rFonts w:hint="eastAsia"/>
                <w:sz w:val="21"/>
                <w:szCs w:val="21"/>
              </w:rPr>
              <w:t>（4）拟投入设备原厂巡检服务工程师：提供巡检服务的设备原厂工程师有H3CSE或H3CIE专业资格认证证书，每有1人得1分，满分3分。</w:t>
            </w:r>
          </w:p>
          <w:p w14:paraId="16F8CAC9">
            <w:pPr>
              <w:spacing w:line="240" w:lineRule="auto"/>
              <w:rPr>
                <w:sz w:val="21"/>
                <w:szCs w:val="21"/>
              </w:rPr>
            </w:pPr>
            <w:r>
              <w:rPr>
                <w:rFonts w:hint="eastAsia"/>
                <w:b/>
                <w:bCs/>
                <w:sz w:val="21"/>
                <w:szCs w:val="21"/>
              </w:rPr>
              <w:t>注：以上项目负责人、售后负责人和实施的人员不能为相同人员，响应文件中</w:t>
            </w:r>
            <w:r>
              <w:rPr>
                <w:rFonts w:hint="eastAsia"/>
                <w:b/>
                <w:bCs/>
                <w:sz w:val="21"/>
                <w:szCs w:val="21"/>
                <w:lang w:val="en-US" w:eastAsia="zh-CN"/>
              </w:rPr>
              <w:t>需</w:t>
            </w:r>
            <w:r>
              <w:rPr>
                <w:rFonts w:hint="eastAsia"/>
                <w:b/>
                <w:bCs/>
                <w:sz w:val="21"/>
                <w:szCs w:val="21"/>
              </w:rPr>
              <w:t>提供近半年连续三个月供应商为其缴纳社保复印件，及相关人员证书证明材料复印件，原件备查；设备原厂巡检服务工程师</w:t>
            </w:r>
            <w:r>
              <w:rPr>
                <w:rFonts w:hint="eastAsia"/>
                <w:b/>
                <w:bCs/>
                <w:sz w:val="21"/>
                <w:szCs w:val="21"/>
                <w:lang w:val="en-US" w:eastAsia="zh-CN"/>
              </w:rPr>
              <w:t>需</w:t>
            </w:r>
            <w:r>
              <w:rPr>
                <w:rFonts w:hint="eastAsia"/>
                <w:b/>
                <w:bCs/>
                <w:sz w:val="21"/>
                <w:szCs w:val="21"/>
              </w:rPr>
              <w:t>近半年连续三个月设备厂商为其缴纳社保复印件。不提供或提供材料不齐全的不得分。</w:t>
            </w:r>
          </w:p>
        </w:tc>
      </w:tr>
      <w:tr w14:paraId="7AB7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6" w:hRule="atLeast"/>
        </w:trPr>
        <w:tc>
          <w:tcPr>
            <w:tcW w:w="615" w:type="dxa"/>
            <w:tcBorders>
              <w:top w:val="single" w:color="auto" w:sz="4" w:space="0"/>
              <w:left w:val="single" w:color="auto" w:sz="4" w:space="0"/>
              <w:right w:val="single" w:color="auto" w:sz="4" w:space="0"/>
            </w:tcBorders>
            <w:noWrap/>
            <w:vAlign w:val="center"/>
          </w:tcPr>
          <w:p w14:paraId="0CC85BEB">
            <w:pPr>
              <w:spacing w:line="240" w:lineRule="auto"/>
              <w:rPr>
                <w:sz w:val="21"/>
                <w:szCs w:val="21"/>
              </w:rPr>
            </w:pPr>
            <w:r>
              <w:rPr>
                <w:rFonts w:hint="eastAsia"/>
                <w:sz w:val="21"/>
                <w:szCs w:val="21"/>
              </w:rPr>
              <w:t>3</w:t>
            </w:r>
          </w:p>
        </w:tc>
        <w:tc>
          <w:tcPr>
            <w:tcW w:w="850" w:type="dxa"/>
            <w:tcBorders>
              <w:top w:val="single" w:color="auto" w:sz="4" w:space="0"/>
              <w:left w:val="single" w:color="auto" w:sz="4" w:space="0"/>
              <w:right w:val="single" w:color="auto" w:sz="4" w:space="0"/>
            </w:tcBorders>
            <w:noWrap/>
            <w:vAlign w:val="center"/>
          </w:tcPr>
          <w:p w14:paraId="52A6489A">
            <w:pPr>
              <w:spacing w:line="240" w:lineRule="auto"/>
              <w:rPr>
                <w:sz w:val="21"/>
                <w:szCs w:val="21"/>
              </w:rPr>
            </w:pPr>
            <w:r>
              <w:rPr>
                <w:rFonts w:hint="eastAsia"/>
                <w:sz w:val="21"/>
                <w:szCs w:val="21"/>
              </w:rPr>
              <w:t>商务分（满分20分）</w:t>
            </w:r>
          </w:p>
        </w:tc>
        <w:tc>
          <w:tcPr>
            <w:tcW w:w="1221" w:type="dxa"/>
            <w:tcBorders>
              <w:top w:val="single" w:color="auto" w:sz="4" w:space="0"/>
              <w:left w:val="single" w:color="auto" w:sz="4" w:space="0"/>
              <w:right w:val="single" w:color="auto" w:sz="4" w:space="0"/>
            </w:tcBorders>
            <w:noWrap/>
            <w:tcMar>
              <w:top w:w="0" w:type="dxa"/>
              <w:left w:w="57" w:type="dxa"/>
              <w:bottom w:w="0" w:type="dxa"/>
              <w:right w:w="57" w:type="dxa"/>
            </w:tcMar>
            <w:vAlign w:val="center"/>
          </w:tcPr>
          <w:p w14:paraId="26AED482">
            <w:pPr>
              <w:spacing w:line="240" w:lineRule="auto"/>
              <w:rPr>
                <w:sz w:val="21"/>
                <w:szCs w:val="21"/>
              </w:rPr>
            </w:pPr>
            <w:r>
              <w:rPr>
                <w:rFonts w:hint="eastAsia"/>
                <w:sz w:val="21"/>
                <w:szCs w:val="21"/>
              </w:rPr>
              <w:t>商务分（20分）</w:t>
            </w:r>
          </w:p>
        </w:tc>
        <w:tc>
          <w:tcPr>
            <w:tcW w:w="6494" w:type="dxa"/>
            <w:tcBorders>
              <w:top w:val="single" w:color="auto" w:sz="4" w:space="0"/>
              <w:left w:val="single" w:color="auto" w:sz="4" w:space="0"/>
              <w:right w:val="single" w:color="auto" w:sz="4" w:space="0"/>
            </w:tcBorders>
            <w:noWrap/>
          </w:tcPr>
          <w:p w14:paraId="28D739AB">
            <w:pPr>
              <w:spacing w:line="240" w:lineRule="auto"/>
              <w:rPr>
                <w:sz w:val="21"/>
                <w:szCs w:val="21"/>
              </w:rPr>
            </w:pPr>
            <w:r>
              <w:rPr>
                <w:rFonts w:hint="eastAsia"/>
                <w:sz w:val="21"/>
                <w:szCs w:val="21"/>
              </w:rPr>
              <w:t>供应商具有ISO9001系列质量体系认证、ISO20000信息技术服务管理体系认证、ISO27001信息安全管理体系认证、ISO14001环境管理体系认证、ISO/IEC27701隐私信息管理体系认证的，每有1项得2分，满分10分。</w:t>
            </w:r>
          </w:p>
          <w:p w14:paraId="37C94239">
            <w:pPr>
              <w:spacing w:line="240" w:lineRule="auto"/>
              <w:rPr>
                <w:sz w:val="21"/>
                <w:szCs w:val="21"/>
              </w:rPr>
            </w:pPr>
            <w:r>
              <w:rPr>
                <w:rFonts w:hint="eastAsia"/>
                <w:sz w:val="21"/>
                <w:szCs w:val="21"/>
              </w:rPr>
              <w:t>供应商可以提供原厂服务设备厂商H3C针对本项目的授权书原件），得3分，满分3分。</w:t>
            </w:r>
          </w:p>
          <w:p w14:paraId="5812CF89">
            <w:pPr>
              <w:spacing w:line="240" w:lineRule="auto"/>
              <w:rPr>
                <w:sz w:val="21"/>
                <w:szCs w:val="21"/>
              </w:rPr>
            </w:pPr>
            <w:r>
              <w:rPr>
                <w:rFonts w:hint="eastAsia"/>
                <w:sz w:val="21"/>
                <w:szCs w:val="21"/>
              </w:rPr>
              <w:t>（3）供应商可以提供原厂服务设备厂商H3C出具的本地备品备件库证明函，得3分，满分3分。</w:t>
            </w:r>
          </w:p>
          <w:p w14:paraId="24927B08">
            <w:pPr>
              <w:spacing w:line="240" w:lineRule="auto"/>
              <w:rPr>
                <w:b/>
                <w:bCs/>
                <w:sz w:val="21"/>
                <w:szCs w:val="21"/>
              </w:rPr>
            </w:pPr>
            <w:r>
              <w:rPr>
                <w:rFonts w:hint="eastAsia"/>
                <w:b/>
                <w:bCs/>
                <w:sz w:val="21"/>
                <w:szCs w:val="21"/>
              </w:rPr>
              <w:t>注：响应文件中提供有效的证书复印件（或扫描件）并加盖供应商电子签章，非中文文本的请提供中文翻译文本，否则不予以计分。</w:t>
            </w:r>
          </w:p>
          <w:p w14:paraId="092577EC">
            <w:pPr>
              <w:spacing w:line="240" w:lineRule="auto"/>
              <w:rPr>
                <w:sz w:val="21"/>
                <w:szCs w:val="21"/>
              </w:rPr>
            </w:pPr>
            <w:r>
              <w:rPr>
                <w:rFonts w:hint="eastAsia"/>
                <w:sz w:val="21"/>
                <w:szCs w:val="21"/>
              </w:rPr>
              <w:t>（4）供应商2021年1月1日至今同类项目业绩，每有1项得2分，满分4分。</w:t>
            </w:r>
          </w:p>
          <w:p w14:paraId="1051DFB9">
            <w:pPr>
              <w:spacing w:line="240" w:lineRule="auto"/>
              <w:rPr>
                <w:sz w:val="21"/>
                <w:szCs w:val="21"/>
              </w:rPr>
            </w:pPr>
            <w:r>
              <w:rPr>
                <w:rFonts w:hint="eastAsia"/>
                <w:b/>
                <w:bCs/>
                <w:sz w:val="21"/>
                <w:szCs w:val="21"/>
              </w:rPr>
              <w:t>注：响应文件中提供有效的成交通知书或合同复印件（或扫描件）并加盖供应商电子签章，否则不予以计分。</w:t>
            </w:r>
          </w:p>
        </w:tc>
      </w:tr>
      <w:tr w14:paraId="3FAA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4"/>
            <w:tcBorders>
              <w:top w:val="single" w:color="auto" w:sz="4" w:space="0"/>
              <w:left w:val="single" w:color="auto" w:sz="4" w:space="0"/>
              <w:bottom w:val="single" w:color="auto" w:sz="4" w:space="0"/>
              <w:right w:val="single" w:color="auto" w:sz="4" w:space="0"/>
            </w:tcBorders>
            <w:noWrap/>
            <w:vAlign w:val="center"/>
          </w:tcPr>
          <w:p w14:paraId="31B1FCFE">
            <w:pPr>
              <w:rPr>
                <w:sz w:val="21"/>
                <w:szCs w:val="21"/>
              </w:rPr>
            </w:pPr>
            <w:r>
              <w:rPr>
                <w:rFonts w:hint="eastAsia"/>
                <w:sz w:val="21"/>
                <w:szCs w:val="21"/>
              </w:rPr>
              <w:t>本项目为服务类项目，无节能、环保产品加分。</w:t>
            </w:r>
          </w:p>
        </w:tc>
      </w:tr>
    </w:tbl>
    <w:p w14:paraId="04205F41">
      <w:pPr>
        <w:rPr>
          <w:rFonts w:hint="eastAsia" w:eastAsia="宋体"/>
          <w:lang w:eastAsia="zh-CN"/>
        </w:rPr>
      </w:pPr>
      <w:r>
        <w:rPr>
          <w:rFonts w:hint="eastAsia"/>
        </w:rPr>
        <w:t>由评审小组根据综合评分情况，按照评审得分由高到低顺序推荐3名以上成交候选供应商</w:t>
      </w:r>
      <w:r>
        <w:rPr>
          <w:rFonts w:hint="eastAsia"/>
          <w:lang w:eastAsia="zh-CN"/>
        </w:rPr>
        <w:t>。</w:t>
      </w:r>
    </w:p>
    <w:p w14:paraId="66461C37"/>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874114"/>
      <w:docPartObj>
        <w:docPartGallery w:val="autotext"/>
      </w:docPartObj>
    </w:sdtPr>
    <w:sdtContent>
      <w:p w14:paraId="1A1B0FDB">
        <w:pPr>
          <w:pStyle w:val="10"/>
          <w:jc w:val="center"/>
        </w:pPr>
        <w:r>
          <w:fldChar w:fldCharType="begin"/>
        </w:r>
        <w:r>
          <w:instrText xml:space="preserve">PAGE   \* MERGEFORMAT</w:instrText>
        </w:r>
        <w:r>
          <w:fldChar w:fldCharType="separate"/>
        </w:r>
        <w:r>
          <w:rPr>
            <w:lang w:val="zh-CN"/>
          </w:rPr>
          <w:t>1</w:t>
        </w:r>
        <w:r>
          <w:fldChar w:fldCharType="end"/>
        </w:r>
      </w:p>
    </w:sdtContent>
  </w:sdt>
  <w:p w14:paraId="62C56741">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C345A"/>
    <w:multiLevelType w:val="multilevel"/>
    <w:tmpl w:val="8A6C345A"/>
    <w:lvl w:ilvl="0" w:tentative="0">
      <w:start w:val="1"/>
      <w:numFmt w:val="chineseCounting"/>
      <w:pStyle w:val="3"/>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jU2MzMxMTIyNzIyYTQyZjg1OTZhMmRkYzhlY2QifQ=="/>
  </w:docVars>
  <w:rsids>
    <w:rsidRoot w:val="00E838E7"/>
    <w:rsid w:val="00573B8F"/>
    <w:rsid w:val="00863DCD"/>
    <w:rsid w:val="00E838E7"/>
    <w:rsid w:val="021944F6"/>
    <w:rsid w:val="0C635522"/>
    <w:rsid w:val="15A17718"/>
    <w:rsid w:val="1DFC162F"/>
    <w:rsid w:val="1F997DA1"/>
    <w:rsid w:val="278A4AD9"/>
    <w:rsid w:val="4E6E20CE"/>
    <w:rsid w:val="5A390380"/>
    <w:rsid w:val="5BFA5886"/>
    <w:rsid w:val="5C324CA1"/>
    <w:rsid w:val="5DED1081"/>
    <w:rsid w:val="6BD10E4A"/>
    <w:rsid w:val="7A9C5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4"/>
    <w:next w:val="1"/>
    <w:qFormat/>
    <w:uiPriority w:val="9"/>
    <w:pPr>
      <w:keepNext/>
      <w:keepLines/>
      <w:numPr>
        <w:ilvl w:val="0"/>
        <w:numId w:val="1"/>
      </w:numPr>
      <w:spacing w:before="340" w:after="330" w:line="578" w:lineRule="auto"/>
    </w:pPr>
    <w:rPr>
      <w:rFonts w:eastAsia="黑体"/>
      <w:bCs/>
      <w:kern w:val="44"/>
      <w:sz w:val="30"/>
      <w:szCs w:val="44"/>
    </w:rPr>
  </w:style>
  <w:style w:type="paragraph" w:styleId="5">
    <w:name w:val="heading 2"/>
    <w:basedOn w:val="1"/>
    <w:next w:val="1"/>
    <w:unhideWhenUsed/>
    <w:qFormat/>
    <w:uiPriority w:val="0"/>
    <w:pPr>
      <w:spacing w:before="260" w:after="260" w:line="416" w:lineRule="auto"/>
      <w:jc w:val="left"/>
      <w:outlineLvl w:val="1"/>
    </w:pPr>
    <w:rPr>
      <w:rFonts w:ascii="Calibri Light" w:hAnsi="Calibri Light"/>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hAnsi="Courier New"/>
      <w:sz w:val="21"/>
      <w:szCs w:val="20"/>
      <w:lang w:eastAsia="en-US" w:bidi="en-US"/>
    </w:rPr>
  </w:style>
  <w:style w:type="paragraph" w:styleId="4">
    <w:name w:val="Title"/>
    <w:basedOn w:val="1"/>
    <w:next w:val="1"/>
    <w:qFormat/>
    <w:uiPriority w:val="0"/>
    <w:pPr>
      <w:spacing w:before="240" w:after="60"/>
      <w:jc w:val="center"/>
      <w:outlineLvl w:val="0"/>
    </w:pPr>
    <w:rPr>
      <w:rFonts w:ascii="Arial" w:hAnsi="Arial" w:eastAsiaTheme="minorEastAsia"/>
      <w:b/>
      <w:kern w:val="28"/>
      <w:szCs w:val="22"/>
    </w:rPr>
  </w:style>
  <w:style w:type="paragraph" w:styleId="6">
    <w:name w:val="annotation text"/>
    <w:basedOn w:val="1"/>
    <w:qFormat/>
    <w:uiPriority w:val="99"/>
    <w:pPr>
      <w:jc w:val="left"/>
    </w:pPr>
  </w:style>
  <w:style w:type="paragraph" w:styleId="7">
    <w:name w:val="Body Text"/>
    <w:basedOn w:val="1"/>
    <w:next w:val="4"/>
    <w:unhideWhenUsed/>
    <w:qFormat/>
    <w:uiPriority w:val="99"/>
    <w:pPr>
      <w:spacing w:after="120"/>
    </w:pPr>
  </w:style>
  <w:style w:type="paragraph" w:styleId="8">
    <w:name w:val="Plain Text"/>
    <w:basedOn w:val="1"/>
    <w:next w:val="1"/>
    <w:qFormat/>
    <w:uiPriority w:val="99"/>
    <w:rPr>
      <w:rFonts w:ascii="宋体" w:hAnsi="Courier New"/>
      <w:szCs w:val="20"/>
    </w:rPr>
  </w:style>
  <w:style w:type="paragraph" w:styleId="9">
    <w:name w:val="Balloon Text"/>
    <w:basedOn w:val="1"/>
    <w:link w:val="17"/>
    <w:qFormat/>
    <w:uiPriority w:val="0"/>
    <w:pPr>
      <w:spacing w:line="240" w:lineRule="auto"/>
    </w:pPr>
    <w:rPr>
      <w:sz w:val="18"/>
      <w:szCs w:val="18"/>
    </w:rPr>
  </w:style>
  <w:style w:type="paragraph" w:styleId="10">
    <w:name w:val="footer"/>
    <w:basedOn w:val="1"/>
    <w:link w:val="20"/>
    <w:qFormat/>
    <w:uiPriority w:val="99"/>
    <w:pPr>
      <w:tabs>
        <w:tab w:val="center" w:pos="4153"/>
        <w:tab w:val="right" w:pos="8306"/>
      </w:tabs>
      <w:snapToGrid w:val="0"/>
      <w:spacing w:line="240" w:lineRule="auto"/>
      <w:jc w:val="left"/>
    </w:pPr>
    <w:rPr>
      <w:sz w:val="18"/>
      <w:szCs w:val="18"/>
    </w:rPr>
  </w:style>
  <w:style w:type="paragraph" w:styleId="11">
    <w:name w:val="header"/>
    <w:basedOn w:val="1"/>
    <w:link w:val="19"/>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styleId="14">
    <w:name w:val="annotation reference"/>
    <w:basedOn w:val="13"/>
    <w:qFormat/>
    <w:uiPriority w:val="0"/>
    <w:rPr>
      <w:sz w:val="21"/>
      <w:szCs w:val="21"/>
    </w:rPr>
  </w:style>
  <w:style w:type="paragraph" w:customStyle="1" w:styleId="15">
    <w:name w:val="正文."/>
    <w:autoRedefine/>
    <w:qFormat/>
    <w:uiPriority w:val="0"/>
    <w:pPr>
      <w:spacing w:line="300" w:lineRule="auto"/>
    </w:pPr>
    <w:rPr>
      <w:rFonts w:ascii="Arial" w:hAnsi="Arial" w:eastAsia="宋体" w:cs="Times New Roman"/>
      <w:sz w:val="21"/>
      <w:szCs w:val="21"/>
      <w:lang w:val="en-US" w:eastAsia="zh-CN" w:bidi="ar-SA"/>
    </w:rPr>
  </w:style>
  <w:style w:type="character" w:customStyle="1" w:styleId="16">
    <w:name w:val="标题 1 字符1"/>
    <w:autoRedefine/>
    <w:qFormat/>
    <w:uiPriority w:val="0"/>
    <w:rPr>
      <w:b/>
      <w:bCs/>
      <w:kern w:val="44"/>
      <w:sz w:val="44"/>
      <w:szCs w:val="44"/>
    </w:rPr>
  </w:style>
  <w:style w:type="character" w:customStyle="1" w:styleId="17">
    <w:name w:val="批注框文本 字符"/>
    <w:basedOn w:val="13"/>
    <w:link w:val="9"/>
    <w:qFormat/>
    <w:uiPriority w:val="0"/>
    <w:rPr>
      <w:rFonts w:ascii="Times New Roman" w:hAnsi="Times New Roman" w:eastAsia="宋体" w:cs="Times New Roman"/>
      <w:kern w:val="2"/>
      <w:sz w:val="18"/>
      <w:szCs w:val="18"/>
    </w:rPr>
  </w:style>
  <w:style w:type="paragraph" w:customStyle="1" w:styleId="18">
    <w:name w:val="Revision"/>
    <w:hidden/>
    <w:semiHidden/>
    <w:qFormat/>
    <w:uiPriority w:val="99"/>
    <w:rPr>
      <w:rFonts w:ascii="Times New Roman" w:hAnsi="Times New Roman" w:eastAsia="宋体" w:cs="Times New Roman"/>
      <w:kern w:val="2"/>
      <w:sz w:val="24"/>
      <w:szCs w:val="24"/>
      <w:lang w:val="en-US" w:eastAsia="zh-CN" w:bidi="ar-SA"/>
    </w:rPr>
  </w:style>
  <w:style w:type="character" w:customStyle="1" w:styleId="19">
    <w:name w:val="页眉 字符"/>
    <w:basedOn w:val="13"/>
    <w:link w:val="11"/>
    <w:qFormat/>
    <w:uiPriority w:val="0"/>
    <w:rPr>
      <w:rFonts w:ascii="Times New Roman" w:hAnsi="Times New Roman" w:eastAsia="宋体" w:cs="Times New Roman"/>
      <w:kern w:val="2"/>
      <w:sz w:val="18"/>
      <w:szCs w:val="18"/>
    </w:rPr>
  </w:style>
  <w:style w:type="character" w:customStyle="1" w:styleId="20">
    <w:name w:val="页脚 字符"/>
    <w:basedOn w:val="13"/>
    <w:link w:val="10"/>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3594</Words>
  <Characters>3828</Characters>
  <Lines>28</Lines>
  <Paragraphs>8</Paragraphs>
  <TotalTime>6</TotalTime>
  <ScaleCrop>false</ScaleCrop>
  <LinksUpToDate>false</LinksUpToDate>
  <CharactersWithSpaces>3845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2024-09-25T00:49:00Z</dcterms:created>
  <dc:creator>admin</dc:creator>
  <cp:lastModifiedBy>秋秋</cp:lastModifiedBy>
  <cp:lastPrinted>2024-10-10T07:52:00Z</cp:lastPrinted>
  <dcterms:modified xsi:type="dcterms:W3CDTF">2024-10-21T13:09:12Z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75392A5B5EBB40BE9B0D05769ABB36A1_12</vt:lpwstr>
  </property>
</Properties>
</file>