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A11A0C">
      <w:pPr>
        <w:widowControl w:val="0"/>
        <w:adjustRightInd/>
        <w:snapToGrid/>
        <w:spacing w:before="0" w:after="0" w:line="360" w:lineRule="auto"/>
        <w:ind w:firstLine="0"/>
        <w:jc w:val="both"/>
        <w:outlineLvl w:val="9"/>
        <w:rPr>
          <w:rFonts w:hint="eastAsia" w:ascii="宋体" w:hAnsi="宋体" w:eastAsia="宋体" w:cs="宋体"/>
          <w:color w:val="auto"/>
          <w:sz w:val="24"/>
          <w:szCs w:val="24"/>
          <w:highlight w:val="none"/>
          <w:lang w:val="en-US" w:eastAsia="zh-CN"/>
        </w:rPr>
      </w:pPr>
      <w:bookmarkStart w:id="0" w:name="_Toc22602"/>
      <w:bookmarkStart w:id="1" w:name="_Toc14671"/>
    </w:p>
    <w:p w14:paraId="22D051A7">
      <w:pPr>
        <w:widowControl w:val="0"/>
        <w:adjustRightInd/>
        <w:snapToGrid/>
        <w:spacing w:before="0" w:after="0" w:line="360" w:lineRule="auto"/>
        <w:ind w:firstLine="0"/>
        <w:jc w:val="both"/>
        <w:outlineLvl w:val="9"/>
        <w:rPr>
          <w:rFonts w:hint="eastAsia" w:ascii="宋体" w:hAnsi="宋体" w:eastAsia="宋体" w:cs="宋体"/>
          <w:color w:val="auto"/>
          <w:sz w:val="24"/>
          <w:szCs w:val="24"/>
          <w:highlight w:val="none"/>
          <w:lang w:val="en-US" w:eastAsia="zh-CN"/>
        </w:rPr>
      </w:pPr>
    </w:p>
    <w:p w14:paraId="5B780882">
      <w:pPr>
        <w:widowControl w:val="0"/>
        <w:adjustRightInd/>
        <w:snapToGrid/>
        <w:spacing w:before="0" w:after="0" w:line="360" w:lineRule="auto"/>
        <w:ind w:firstLine="0"/>
        <w:jc w:val="both"/>
        <w:outlineLvl w:val="9"/>
        <w:rPr>
          <w:rFonts w:hint="eastAsia" w:ascii="宋体" w:hAnsi="宋体" w:eastAsia="宋体" w:cs="宋体"/>
          <w:color w:val="auto"/>
          <w:sz w:val="24"/>
          <w:szCs w:val="24"/>
          <w:highlight w:val="none"/>
          <w:lang w:val="en-US" w:eastAsia="zh-CN"/>
        </w:rPr>
      </w:pPr>
    </w:p>
    <w:p w14:paraId="3E2278DF">
      <w:pPr>
        <w:widowControl w:val="0"/>
        <w:adjustRightInd/>
        <w:snapToGrid/>
        <w:spacing w:before="0" w:after="0" w:line="360" w:lineRule="auto"/>
        <w:ind w:firstLine="0"/>
        <w:jc w:val="both"/>
        <w:outlineLvl w:val="9"/>
        <w:rPr>
          <w:rFonts w:hint="eastAsia" w:ascii="宋体" w:hAnsi="宋体" w:eastAsia="宋体" w:cs="宋体"/>
          <w:color w:val="auto"/>
          <w:sz w:val="24"/>
          <w:szCs w:val="24"/>
          <w:highlight w:val="none"/>
          <w:lang w:val="en-US" w:eastAsia="zh-CN"/>
        </w:rPr>
      </w:pPr>
    </w:p>
    <w:p w14:paraId="01A90ED6">
      <w:pPr>
        <w:widowControl w:val="0"/>
        <w:adjustRightInd/>
        <w:snapToGrid/>
        <w:spacing w:before="0" w:after="0" w:line="360" w:lineRule="auto"/>
        <w:ind w:firstLine="0"/>
        <w:jc w:val="both"/>
        <w:outlineLvl w:val="9"/>
        <w:rPr>
          <w:rFonts w:hint="eastAsia" w:ascii="宋体" w:hAnsi="宋体" w:eastAsia="宋体" w:cs="宋体"/>
          <w:color w:val="auto"/>
          <w:sz w:val="24"/>
          <w:szCs w:val="24"/>
          <w:highlight w:val="none"/>
          <w:lang w:val="en-US" w:eastAsia="zh-CN"/>
        </w:rPr>
      </w:pPr>
    </w:p>
    <w:p w14:paraId="6E6BFD1A">
      <w:pPr>
        <w:widowControl w:val="0"/>
        <w:adjustRightInd/>
        <w:snapToGrid/>
        <w:spacing w:before="0" w:after="0" w:line="360" w:lineRule="auto"/>
        <w:ind w:firstLine="0"/>
        <w:jc w:val="both"/>
        <w:outlineLvl w:val="9"/>
        <w:rPr>
          <w:rFonts w:hint="eastAsia" w:ascii="宋体" w:hAnsi="宋体" w:eastAsia="宋体" w:cs="宋体"/>
          <w:color w:val="auto"/>
          <w:sz w:val="24"/>
          <w:szCs w:val="24"/>
          <w:highlight w:val="none"/>
          <w:lang w:val="en-US" w:eastAsia="zh-CN"/>
        </w:rPr>
      </w:pPr>
    </w:p>
    <w:p w14:paraId="2C8B6ED3">
      <w:pPr>
        <w:widowControl w:val="0"/>
        <w:adjustRightInd/>
        <w:snapToGrid/>
        <w:spacing w:before="0" w:after="0" w:line="360" w:lineRule="auto"/>
        <w:ind w:firstLine="0"/>
        <w:jc w:val="center"/>
        <w:outlineLvl w:val="9"/>
        <w:rPr>
          <w:rFonts w:hint="eastAsia" w:ascii="宋体" w:hAnsi="宋体" w:eastAsia="宋体" w:cs="宋体"/>
          <w:color w:val="auto"/>
          <w:sz w:val="44"/>
          <w:szCs w:val="44"/>
          <w:highlight w:val="none"/>
          <w:lang w:val="en-US" w:eastAsia="zh-CN"/>
        </w:rPr>
      </w:pPr>
      <w:bookmarkStart w:id="29" w:name="_GoBack"/>
      <w:bookmarkStart w:id="2" w:name="_Toc19204"/>
      <w:bookmarkStart w:id="3" w:name="_Toc11001"/>
      <w:r>
        <w:rPr>
          <w:rFonts w:hint="eastAsia" w:ascii="宋体" w:hAnsi="宋体" w:eastAsia="宋体" w:cs="宋体"/>
          <w:color w:val="auto"/>
          <w:sz w:val="44"/>
          <w:szCs w:val="44"/>
          <w:highlight w:val="none"/>
          <w:lang w:val="en-US" w:eastAsia="zh-CN"/>
        </w:rPr>
        <w:t>中山大学附属第一医院广西医院</w:t>
      </w:r>
      <w:bookmarkEnd w:id="0"/>
      <w:bookmarkEnd w:id="1"/>
      <w:bookmarkEnd w:id="2"/>
      <w:bookmarkEnd w:id="3"/>
    </w:p>
    <w:p w14:paraId="5D0AD1C3">
      <w:pPr>
        <w:widowControl w:val="0"/>
        <w:adjustRightInd/>
        <w:snapToGrid/>
        <w:spacing w:before="0" w:after="0" w:line="360" w:lineRule="auto"/>
        <w:ind w:firstLine="0"/>
        <w:jc w:val="center"/>
        <w:outlineLvl w:val="9"/>
        <w:rPr>
          <w:rFonts w:hint="default" w:ascii="宋体" w:hAnsi="宋体" w:eastAsia="宋体" w:cs="宋体"/>
          <w:color w:val="auto"/>
          <w:sz w:val="44"/>
          <w:szCs w:val="44"/>
          <w:highlight w:val="none"/>
          <w:lang w:val="en-US" w:eastAsia="zh-CN"/>
        </w:rPr>
      </w:pPr>
      <w:r>
        <w:rPr>
          <w:rFonts w:hint="eastAsia" w:ascii="宋体" w:hAnsi="宋体" w:eastAsia="宋体" w:cs="宋体"/>
          <w:color w:val="auto"/>
          <w:sz w:val="44"/>
          <w:szCs w:val="44"/>
          <w:highlight w:val="none"/>
          <w:lang w:val="en-US" w:eastAsia="zh-CN"/>
        </w:rPr>
        <w:t>标准化智慧实验室管理维保服务</w:t>
      </w:r>
      <w:r>
        <w:rPr>
          <w:rFonts w:hint="eastAsia" w:ascii="宋体" w:hAnsi="宋体" w:eastAsia="宋体" w:cs="宋体"/>
          <w:color w:val="auto"/>
          <w:sz w:val="44"/>
          <w:szCs w:val="44"/>
          <w:highlight w:val="none"/>
          <w:lang w:val="en-US" w:eastAsia="zh-CN"/>
        </w:rPr>
        <w:t>需求</w:t>
      </w:r>
    </w:p>
    <w:bookmarkEnd w:id="29"/>
    <w:p w14:paraId="1428B27E">
      <w:pPr>
        <w:widowControl w:val="0"/>
        <w:adjustRightInd/>
        <w:snapToGrid/>
        <w:spacing w:before="0" w:after="0" w:line="360" w:lineRule="auto"/>
        <w:ind w:firstLine="0"/>
        <w:jc w:val="center"/>
        <w:outlineLvl w:val="9"/>
        <w:rPr>
          <w:rFonts w:hint="eastAsia" w:ascii="宋体" w:hAnsi="宋体" w:eastAsia="宋体" w:cs="宋体"/>
          <w:color w:val="auto"/>
          <w:sz w:val="44"/>
          <w:szCs w:val="44"/>
          <w:highlight w:val="none"/>
          <w:lang w:val="en-US" w:eastAsia="zh-CN"/>
        </w:rPr>
      </w:pPr>
    </w:p>
    <w:p w14:paraId="54924EB2">
      <w:pPr>
        <w:widowControl w:val="0"/>
        <w:adjustRightInd/>
        <w:snapToGrid/>
        <w:spacing w:before="0" w:after="0" w:line="360" w:lineRule="auto"/>
        <w:ind w:firstLine="0"/>
        <w:jc w:val="center"/>
        <w:outlineLvl w:val="9"/>
        <w:rPr>
          <w:rFonts w:hint="eastAsia" w:ascii="宋体" w:hAnsi="宋体" w:eastAsia="宋体" w:cs="宋体"/>
          <w:color w:val="auto"/>
          <w:sz w:val="44"/>
          <w:szCs w:val="44"/>
          <w:highlight w:val="none"/>
          <w:lang w:val="en-US" w:eastAsia="zh-CN"/>
        </w:rPr>
      </w:pPr>
    </w:p>
    <w:p w14:paraId="191C12F4">
      <w:pPr>
        <w:widowControl w:val="0"/>
        <w:adjustRightInd/>
        <w:snapToGrid/>
        <w:spacing w:before="0" w:after="0" w:line="360" w:lineRule="auto"/>
        <w:ind w:firstLine="0"/>
        <w:jc w:val="center"/>
        <w:outlineLvl w:val="9"/>
        <w:rPr>
          <w:rFonts w:hint="eastAsia" w:ascii="宋体" w:hAnsi="宋体" w:eastAsia="宋体" w:cs="宋体"/>
          <w:color w:val="auto"/>
          <w:sz w:val="44"/>
          <w:szCs w:val="44"/>
          <w:highlight w:val="none"/>
          <w:lang w:val="en-US" w:eastAsia="zh-CN"/>
        </w:rPr>
      </w:pPr>
    </w:p>
    <w:p w14:paraId="326644B8">
      <w:pPr>
        <w:widowControl w:val="0"/>
        <w:adjustRightInd/>
        <w:snapToGrid/>
        <w:spacing w:before="0" w:after="0" w:line="360" w:lineRule="auto"/>
        <w:ind w:firstLine="0"/>
        <w:jc w:val="center"/>
        <w:outlineLvl w:val="9"/>
        <w:rPr>
          <w:rFonts w:hint="eastAsia" w:ascii="宋体" w:hAnsi="宋体" w:eastAsia="宋体" w:cs="宋体"/>
          <w:color w:val="auto"/>
          <w:sz w:val="44"/>
          <w:szCs w:val="44"/>
          <w:highlight w:val="none"/>
          <w:lang w:val="en-US" w:eastAsia="zh-CN"/>
        </w:rPr>
      </w:pPr>
    </w:p>
    <w:p w14:paraId="7F8FE25F">
      <w:pPr>
        <w:widowControl w:val="0"/>
        <w:adjustRightInd/>
        <w:snapToGrid/>
        <w:spacing w:before="0" w:after="0" w:line="360" w:lineRule="auto"/>
        <w:ind w:firstLine="0"/>
        <w:jc w:val="center"/>
        <w:outlineLvl w:val="9"/>
        <w:rPr>
          <w:rFonts w:hint="eastAsia" w:ascii="宋体" w:hAnsi="宋体" w:eastAsia="宋体" w:cs="宋体"/>
          <w:color w:val="auto"/>
          <w:sz w:val="44"/>
          <w:szCs w:val="44"/>
          <w:highlight w:val="none"/>
          <w:lang w:val="en-US" w:eastAsia="zh-CN"/>
        </w:rPr>
      </w:pPr>
    </w:p>
    <w:p w14:paraId="1639C43E">
      <w:pPr>
        <w:widowControl w:val="0"/>
        <w:adjustRightInd/>
        <w:snapToGrid/>
        <w:spacing w:before="0" w:after="0" w:line="360" w:lineRule="auto"/>
        <w:ind w:firstLine="0"/>
        <w:jc w:val="center"/>
        <w:outlineLvl w:val="9"/>
        <w:rPr>
          <w:rFonts w:hint="eastAsia" w:ascii="宋体" w:hAnsi="宋体" w:eastAsia="宋体" w:cs="宋体"/>
          <w:color w:val="auto"/>
          <w:sz w:val="44"/>
          <w:szCs w:val="44"/>
          <w:highlight w:val="none"/>
          <w:lang w:val="en-US" w:eastAsia="zh-CN"/>
        </w:rPr>
      </w:pPr>
    </w:p>
    <w:p w14:paraId="7FFA1BB7">
      <w:pPr>
        <w:widowControl w:val="0"/>
        <w:adjustRightInd/>
        <w:snapToGrid/>
        <w:spacing w:before="0" w:after="0" w:line="360" w:lineRule="auto"/>
        <w:ind w:firstLine="0"/>
        <w:jc w:val="center"/>
        <w:outlineLvl w:val="9"/>
        <w:rPr>
          <w:rFonts w:hint="eastAsia" w:ascii="宋体" w:hAnsi="宋体" w:eastAsia="宋体" w:cs="宋体"/>
          <w:color w:val="auto"/>
          <w:sz w:val="44"/>
          <w:szCs w:val="44"/>
          <w:highlight w:val="none"/>
          <w:lang w:val="en-US" w:eastAsia="zh-CN"/>
        </w:rPr>
      </w:pPr>
    </w:p>
    <w:p w14:paraId="5BAF05CF">
      <w:pPr>
        <w:widowControl w:val="0"/>
        <w:adjustRightInd/>
        <w:snapToGrid/>
        <w:spacing w:before="0" w:after="0" w:line="360" w:lineRule="auto"/>
        <w:ind w:firstLine="0"/>
        <w:jc w:val="center"/>
        <w:outlineLvl w:val="9"/>
        <w:rPr>
          <w:rFonts w:hint="eastAsia" w:ascii="宋体" w:hAnsi="宋体" w:eastAsia="宋体" w:cs="宋体"/>
          <w:color w:val="auto"/>
          <w:sz w:val="44"/>
          <w:szCs w:val="44"/>
          <w:highlight w:val="none"/>
          <w:lang w:val="en-US" w:eastAsia="zh-CN"/>
        </w:rPr>
      </w:pPr>
    </w:p>
    <w:p w14:paraId="61935504">
      <w:pPr>
        <w:widowControl w:val="0"/>
        <w:adjustRightInd/>
        <w:snapToGrid/>
        <w:spacing w:before="0" w:after="0" w:line="360" w:lineRule="auto"/>
        <w:ind w:firstLine="0"/>
        <w:jc w:val="center"/>
        <w:outlineLvl w:val="9"/>
        <w:rPr>
          <w:rFonts w:hint="eastAsia" w:ascii="宋体" w:hAnsi="宋体" w:eastAsia="宋体" w:cs="宋体"/>
          <w:color w:val="auto"/>
          <w:sz w:val="44"/>
          <w:szCs w:val="44"/>
          <w:highlight w:val="none"/>
          <w:lang w:val="en-US" w:eastAsia="zh-CN"/>
        </w:rPr>
      </w:pPr>
    </w:p>
    <w:p w14:paraId="75ADD878">
      <w:pPr>
        <w:numPr>
          <w:ilvl w:val="0"/>
          <w:numId w:val="1"/>
        </w:numPr>
        <w:spacing w:line="360" w:lineRule="auto"/>
        <w:ind w:left="-420" w:leftChars="0" w:firstLine="420" w:firstLineChars="0"/>
        <w:jc w:val="left"/>
        <w:outlineLvl w:val="0"/>
        <w:rPr>
          <w:rFonts w:hint="eastAsia" w:ascii="宋体" w:hAnsi="宋体" w:eastAsia="宋体" w:cs="宋体"/>
          <w:b/>
          <w:bCs/>
          <w:color w:val="auto"/>
          <w:sz w:val="24"/>
          <w:szCs w:val="24"/>
          <w:highlight w:val="none"/>
        </w:rPr>
        <w:sectPr>
          <w:pgSz w:w="11906" w:h="16838"/>
          <w:pgMar w:top="1440" w:right="1800" w:bottom="1440" w:left="1800" w:header="851" w:footer="992" w:gutter="0"/>
          <w:pgNumType w:fmt="decimal" w:start="1"/>
          <w:cols w:space="425" w:num="1"/>
          <w:docGrid w:type="lines" w:linePitch="312" w:charSpace="0"/>
        </w:sectPr>
      </w:pPr>
      <w:bookmarkStart w:id="4" w:name="_Toc27257"/>
    </w:p>
    <w:p w14:paraId="746A7756">
      <w:pPr>
        <w:numPr>
          <w:ilvl w:val="0"/>
          <w:numId w:val="1"/>
        </w:numPr>
        <w:spacing w:line="360" w:lineRule="auto"/>
        <w:ind w:left="-420" w:leftChars="0" w:firstLine="420" w:firstLineChars="0"/>
        <w:jc w:val="left"/>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科室现状</w:t>
      </w:r>
      <w:bookmarkEnd w:id="4"/>
    </w:p>
    <w:p w14:paraId="3DE3423B">
      <w:pPr>
        <w:numPr>
          <w:ilvl w:val="0"/>
          <w:numId w:val="0"/>
        </w:numPr>
        <w:spacing w:line="360" w:lineRule="auto"/>
        <w:ind w:firstLine="420" w:firstLineChars="200"/>
        <w:jc w:val="left"/>
        <w:outlineLvl w:val="9"/>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1"/>
          <w:szCs w:val="21"/>
          <w:highlight w:val="none"/>
          <w:shd w:val="clear" w:fill="FFFFFF"/>
        </w:rPr>
        <w:t>目前，我院检验科的</w:t>
      </w:r>
      <w:bookmarkStart w:id="5" w:name="OLE_LINK1"/>
      <w:r>
        <w:rPr>
          <w:rFonts w:hint="eastAsia" w:ascii="宋体" w:hAnsi="宋体" w:eastAsia="宋体" w:cs="宋体"/>
          <w:i w:val="0"/>
          <w:iCs w:val="0"/>
          <w:caps w:val="0"/>
          <w:color w:val="auto"/>
          <w:spacing w:val="0"/>
          <w:sz w:val="21"/>
          <w:szCs w:val="21"/>
          <w:highlight w:val="none"/>
          <w:shd w:val="clear" w:fill="FFFFFF"/>
        </w:rPr>
        <w:t>标准化智慧实验室管理平台</w:t>
      </w:r>
      <w:bookmarkEnd w:id="5"/>
      <w:r>
        <w:rPr>
          <w:rFonts w:hint="eastAsia" w:ascii="宋体" w:hAnsi="宋体" w:eastAsia="宋体" w:cs="宋体"/>
          <w:i w:val="0"/>
          <w:iCs w:val="0"/>
          <w:caps w:val="0"/>
          <w:color w:val="auto"/>
          <w:spacing w:val="0"/>
          <w:sz w:val="21"/>
          <w:szCs w:val="21"/>
          <w:highlight w:val="none"/>
          <w:shd w:val="clear" w:fill="FFFFFF"/>
        </w:rPr>
        <w:t>仅能满足 ISO 15189:2012 的要求，而无法达到 ISO 15189:2022 的最新标准。为了提升检验科的管理水平和</w:t>
      </w:r>
      <w:r>
        <w:rPr>
          <w:rFonts w:hint="eastAsia" w:ascii="宋体" w:hAnsi="宋体" w:eastAsia="宋体" w:cs="宋体"/>
          <w:i w:val="0"/>
          <w:iCs w:val="0"/>
          <w:caps w:val="0"/>
          <w:color w:val="auto"/>
          <w:spacing w:val="0"/>
          <w:sz w:val="21"/>
          <w:szCs w:val="21"/>
          <w:highlight w:val="none"/>
          <w:shd w:val="clear" w:fill="FFFFFF"/>
          <w:lang w:val="en-US" w:eastAsia="zh-CN"/>
        </w:rPr>
        <w:t>整体</w:t>
      </w:r>
      <w:r>
        <w:rPr>
          <w:rFonts w:hint="eastAsia" w:ascii="宋体" w:hAnsi="宋体" w:eastAsia="宋体" w:cs="宋体"/>
          <w:i w:val="0"/>
          <w:iCs w:val="0"/>
          <w:caps w:val="0"/>
          <w:color w:val="auto"/>
          <w:spacing w:val="0"/>
          <w:sz w:val="21"/>
          <w:szCs w:val="21"/>
          <w:highlight w:val="none"/>
          <w:shd w:val="clear" w:fill="FFFFFF"/>
        </w:rPr>
        <w:t>质量，确保检验结果的准确性和可靠性，满足国际标准的要求，</w:t>
      </w:r>
      <w:r>
        <w:rPr>
          <w:rFonts w:hint="eastAsia" w:ascii="宋体" w:hAnsi="宋体" w:eastAsia="宋体" w:cs="宋体"/>
          <w:i w:val="0"/>
          <w:iCs w:val="0"/>
          <w:caps w:val="0"/>
          <w:color w:val="auto"/>
          <w:spacing w:val="0"/>
          <w:sz w:val="21"/>
          <w:szCs w:val="21"/>
          <w:highlight w:val="none"/>
          <w:shd w:val="clear" w:fill="FFFFFF"/>
          <w:lang w:val="en-US" w:eastAsia="zh-CN"/>
        </w:rPr>
        <w:t>现提出针对</w:t>
      </w:r>
      <w:r>
        <w:rPr>
          <w:rFonts w:hint="eastAsia" w:ascii="宋体" w:hAnsi="宋体" w:eastAsia="宋体" w:cs="宋体"/>
          <w:i w:val="0"/>
          <w:iCs w:val="0"/>
          <w:caps w:val="0"/>
          <w:color w:val="auto"/>
          <w:spacing w:val="0"/>
          <w:sz w:val="21"/>
          <w:szCs w:val="21"/>
          <w:highlight w:val="none"/>
          <w:shd w:val="clear" w:fill="FFFFFF"/>
        </w:rPr>
        <w:t>标准化智慧实验室管理平台</w:t>
      </w:r>
      <w:r>
        <w:rPr>
          <w:rFonts w:hint="eastAsia" w:ascii="宋体" w:hAnsi="宋体" w:eastAsia="宋体" w:cs="宋体"/>
          <w:i w:val="0"/>
          <w:iCs w:val="0"/>
          <w:caps w:val="0"/>
          <w:color w:val="auto"/>
          <w:spacing w:val="0"/>
          <w:sz w:val="21"/>
          <w:szCs w:val="21"/>
          <w:highlight w:val="none"/>
          <w:shd w:val="clear" w:fill="FFFFFF"/>
          <w:lang w:val="en-US" w:eastAsia="zh-CN"/>
        </w:rPr>
        <w:t>的升级需求。</w:t>
      </w:r>
    </w:p>
    <w:p w14:paraId="4EC4D60C">
      <w:pPr>
        <w:numPr>
          <w:ilvl w:val="0"/>
          <w:numId w:val="1"/>
        </w:numPr>
        <w:spacing w:line="360" w:lineRule="auto"/>
        <w:ind w:left="-420" w:leftChars="0" w:firstLine="420" w:firstLineChars="0"/>
        <w:jc w:val="left"/>
        <w:outlineLvl w:val="0"/>
        <w:rPr>
          <w:rFonts w:hint="eastAsia" w:ascii="宋体" w:hAnsi="宋体" w:eastAsia="宋体" w:cs="宋体"/>
          <w:b/>
          <w:bCs/>
          <w:color w:val="auto"/>
          <w:sz w:val="24"/>
          <w:szCs w:val="24"/>
          <w:highlight w:val="none"/>
          <w:lang w:val="en-US" w:eastAsia="zh-CN"/>
        </w:rPr>
      </w:pPr>
      <w:bookmarkStart w:id="6" w:name="_Toc25992"/>
      <w:r>
        <w:rPr>
          <w:rFonts w:hint="eastAsia" w:ascii="宋体" w:hAnsi="宋体" w:eastAsia="宋体" w:cs="宋体"/>
          <w:b/>
          <w:bCs/>
          <w:color w:val="auto"/>
          <w:sz w:val="24"/>
          <w:szCs w:val="24"/>
          <w:highlight w:val="none"/>
          <w:lang w:val="en-US" w:eastAsia="zh-CN"/>
        </w:rPr>
        <w:t>升级功能内容</w:t>
      </w:r>
      <w:bookmarkEnd w:id="6"/>
    </w:p>
    <w:p w14:paraId="05C3A3AB">
      <w:pPr>
        <w:numPr>
          <w:ilvl w:val="0"/>
          <w:numId w:val="0"/>
        </w:numPr>
        <w:spacing w:line="360" w:lineRule="auto"/>
        <w:ind w:firstLine="422" w:firstLineChars="200"/>
        <w:jc w:val="left"/>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升级版标准化智慧实验室管理平台需包含以下功能内容：</w:t>
      </w:r>
    </w:p>
    <w:p w14:paraId="2874C183">
      <w:pPr>
        <w:numPr>
          <w:ilvl w:val="0"/>
          <w:numId w:val="2"/>
        </w:numPr>
        <w:spacing w:line="360" w:lineRule="auto"/>
        <w:ind w:left="-420" w:leftChars="0" w:firstLine="420" w:firstLineChars="0"/>
        <w:jc w:val="left"/>
        <w:outlineLvl w:val="1"/>
        <w:rPr>
          <w:rFonts w:hint="eastAsia" w:ascii="宋体" w:hAnsi="宋体" w:eastAsia="宋体" w:cs="宋体"/>
          <w:b/>
          <w:bCs/>
          <w:color w:val="auto"/>
          <w:sz w:val="24"/>
          <w:szCs w:val="24"/>
          <w:highlight w:val="none"/>
        </w:rPr>
      </w:pPr>
      <w:bookmarkStart w:id="7" w:name="_Toc171"/>
      <w:r>
        <w:rPr>
          <w:rFonts w:hint="eastAsia" w:ascii="宋体" w:hAnsi="宋体" w:eastAsia="宋体" w:cs="宋体"/>
          <w:b/>
          <w:bCs/>
          <w:color w:val="auto"/>
          <w:sz w:val="24"/>
          <w:szCs w:val="24"/>
          <w:highlight w:val="none"/>
          <w:lang w:val="en-US" w:eastAsia="zh-CN"/>
        </w:rPr>
        <w:t>文件管理</w:t>
      </w:r>
      <w:bookmarkEnd w:id="7"/>
    </w:p>
    <w:p w14:paraId="364B863E">
      <w:pPr>
        <w:numPr>
          <w:ilvl w:val="0"/>
          <w:numId w:val="3"/>
        </w:numPr>
        <w:spacing w:line="360" w:lineRule="auto"/>
        <w:ind w:left="845" w:leftChars="0" w:hanging="425"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文件受控库管理</w:t>
      </w:r>
    </w:p>
    <w:p w14:paraId="48E2F9AA">
      <w:pPr>
        <w:numPr>
          <w:ilvl w:val="0"/>
          <w:numId w:val="4"/>
        </w:numPr>
        <w:spacing w:line="360" w:lineRule="auto"/>
        <w:ind w:left="1265" w:leftChars="0" w:hanging="425"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应包括科室外部文件和内部文件；外部文件需包括医学实验室检验专业相关的法律法规、标准指南、专家共识；</w:t>
      </w:r>
    </w:p>
    <w:p w14:paraId="66DEC546">
      <w:pPr>
        <w:numPr>
          <w:ilvl w:val="0"/>
          <w:numId w:val="4"/>
        </w:numPr>
        <w:spacing w:line="360" w:lineRule="auto"/>
        <w:ind w:left="1265" w:leftChars="0" w:hanging="425"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所有文件需要按照管理类或技术类从编写、审核、批准、修订、改版、废止、归档全流程全部满足新版标准8.2和8.3的要求；</w:t>
      </w:r>
    </w:p>
    <w:p w14:paraId="0E1FBB83">
      <w:pPr>
        <w:numPr>
          <w:ilvl w:val="0"/>
          <w:numId w:val="4"/>
        </w:numPr>
        <w:spacing w:line="360" w:lineRule="auto"/>
        <w:ind w:left="1265" w:leftChars="0" w:hanging="425"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所有电子文件可实现显示唯一性标识、文件控制记录，能够自动生成文件控制清单；</w:t>
      </w:r>
    </w:p>
    <w:p w14:paraId="034B7757">
      <w:pPr>
        <w:numPr>
          <w:ilvl w:val="0"/>
          <w:numId w:val="4"/>
        </w:numPr>
        <w:spacing w:line="360" w:lineRule="auto"/>
        <w:ind w:left="1265" w:leftChars="0" w:hanging="425"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系统需支持可以按不同类别设定控制流程；</w:t>
      </w:r>
    </w:p>
    <w:p w14:paraId="0A62D1CB">
      <w:pPr>
        <w:numPr>
          <w:ilvl w:val="0"/>
          <w:numId w:val="3"/>
        </w:numPr>
        <w:spacing w:line="360" w:lineRule="auto"/>
        <w:ind w:left="845" w:leftChars="0" w:hanging="425"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文档修订流程</w:t>
      </w:r>
    </w:p>
    <w:p w14:paraId="78548ABD">
      <w:pPr>
        <w:numPr>
          <w:ilvl w:val="0"/>
          <w:numId w:val="5"/>
        </w:numPr>
        <w:spacing w:line="360" w:lineRule="auto"/>
        <w:ind w:left="1265" w:leftChars="0" w:hanging="425" w:firstLineChars="0"/>
        <w:jc w:val="left"/>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系统需支持按不同权限有序安全共享给员工，在线版本追踪、智能索引、快速查找功能；</w:t>
      </w:r>
    </w:p>
    <w:p w14:paraId="06A68802">
      <w:pPr>
        <w:numPr>
          <w:ilvl w:val="0"/>
          <w:numId w:val="5"/>
        </w:numPr>
        <w:spacing w:line="360" w:lineRule="auto"/>
        <w:ind w:left="1265" w:leftChars="0" w:hanging="425" w:firstLineChars="0"/>
        <w:jc w:val="left"/>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系统应支持的文件格式：doc/docx、xls/xlsx、ppt/pptx、pdf、txt、png/jpg/jpeg/bmp，同时可实现文件批量上传；</w:t>
      </w:r>
    </w:p>
    <w:p w14:paraId="06938948">
      <w:pPr>
        <w:numPr>
          <w:ilvl w:val="0"/>
          <w:numId w:val="5"/>
        </w:numPr>
        <w:spacing w:line="360" w:lineRule="auto"/>
        <w:ind w:left="1265" w:leftChars="0" w:hanging="425" w:firstLineChars="0"/>
        <w:jc w:val="left"/>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系统应配备在线协同编辑功能；</w:t>
      </w:r>
    </w:p>
    <w:p w14:paraId="45356E89">
      <w:pPr>
        <w:numPr>
          <w:ilvl w:val="0"/>
          <w:numId w:val="3"/>
        </w:numPr>
        <w:spacing w:line="360" w:lineRule="auto"/>
        <w:ind w:left="845" w:leftChars="0" w:hanging="425" w:firstLineChars="0"/>
        <w:jc w:val="left"/>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文件评审</w:t>
      </w:r>
    </w:p>
    <w:p w14:paraId="6DB7CDD1">
      <w:pPr>
        <w:numPr>
          <w:ilvl w:val="0"/>
          <w:numId w:val="6"/>
        </w:numPr>
        <w:spacing w:line="360" w:lineRule="auto"/>
        <w:ind w:left="1265" w:leftChars="0" w:hanging="425" w:firstLineChars="0"/>
        <w:jc w:val="left"/>
        <w:outlineLvl w:val="9"/>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按照ISO15189：2022要求，系统应有文件评审功能，能使用系统进行文件的定期评审，文件评审应该配备：评审计划、评审分工、评审会议。</w:t>
      </w:r>
    </w:p>
    <w:p w14:paraId="474DA4D8">
      <w:pPr>
        <w:numPr>
          <w:ilvl w:val="0"/>
          <w:numId w:val="2"/>
        </w:numPr>
        <w:spacing w:line="360" w:lineRule="auto"/>
        <w:ind w:left="-420" w:leftChars="0" w:firstLine="420" w:firstLineChars="0"/>
        <w:jc w:val="left"/>
        <w:outlineLvl w:val="1"/>
        <w:rPr>
          <w:rFonts w:hint="eastAsia" w:ascii="宋体" w:hAnsi="宋体" w:eastAsia="宋体" w:cs="宋体"/>
          <w:b/>
          <w:bCs/>
          <w:color w:val="auto"/>
          <w:sz w:val="24"/>
          <w:szCs w:val="24"/>
          <w:highlight w:val="none"/>
          <w:lang w:val="en-US" w:eastAsia="zh-CN"/>
        </w:rPr>
      </w:pPr>
      <w:bookmarkStart w:id="8" w:name="_Toc12350"/>
      <w:r>
        <w:rPr>
          <w:rFonts w:hint="eastAsia" w:ascii="宋体" w:hAnsi="宋体" w:eastAsia="宋体" w:cs="宋体"/>
          <w:b/>
          <w:bCs/>
          <w:color w:val="auto"/>
          <w:sz w:val="24"/>
          <w:szCs w:val="24"/>
          <w:highlight w:val="none"/>
          <w:lang w:val="en-US" w:eastAsia="zh-CN"/>
        </w:rPr>
        <w:t>电子记录</w:t>
      </w:r>
      <w:bookmarkEnd w:id="8"/>
    </w:p>
    <w:p w14:paraId="13B46C7E">
      <w:pPr>
        <w:numPr>
          <w:ilvl w:val="0"/>
          <w:numId w:val="7"/>
        </w:numPr>
        <w:spacing w:line="360" w:lineRule="auto"/>
        <w:ind w:left="1055" w:leftChars="0" w:hanging="425" w:firstLineChars="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记录表单</w:t>
      </w:r>
    </w:p>
    <w:p w14:paraId="409E304F">
      <w:pPr>
        <w:numPr>
          <w:ilvl w:val="0"/>
          <w:numId w:val="8"/>
        </w:numPr>
        <w:spacing w:line="360" w:lineRule="auto"/>
        <w:ind w:left="1265" w:leftChars="0" w:hanging="425"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系统需要按照 ISO15189：2022条款要求进行分类，检验人员可按分类索引快捷找到所需表单；应全面满足8.3和8.4的要求；</w:t>
      </w:r>
    </w:p>
    <w:p w14:paraId="49DCF23E">
      <w:pPr>
        <w:numPr>
          <w:ilvl w:val="0"/>
          <w:numId w:val="8"/>
        </w:numPr>
        <w:spacing w:line="360" w:lineRule="auto"/>
        <w:ind w:left="1265" w:leftChars="0" w:hanging="425"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系统可针对多环节记录采用流程化管理，流程结束后自动生成记录表单功能；</w:t>
      </w:r>
    </w:p>
    <w:p w14:paraId="66132B89">
      <w:pPr>
        <w:numPr>
          <w:ilvl w:val="0"/>
          <w:numId w:val="8"/>
        </w:numPr>
        <w:spacing w:line="360" w:lineRule="auto"/>
        <w:ind w:left="1265" w:leftChars="0" w:hanging="425"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系统需按ISO15189要求提供岗位工作日志，可按需对工作日志相关事件进行统计分析；</w:t>
      </w:r>
    </w:p>
    <w:p w14:paraId="1AA92CFB">
      <w:pPr>
        <w:numPr>
          <w:ilvl w:val="0"/>
          <w:numId w:val="8"/>
        </w:numPr>
        <w:spacing w:line="360" w:lineRule="auto"/>
        <w:ind w:left="1265" w:leftChars="0" w:hanging="425"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所有会议记录、内审记录、评审记录、培训记录、外来人员进出实验室记录等均可通过系统生成二维码，通过扫描二维码后生成记录；</w:t>
      </w:r>
    </w:p>
    <w:p w14:paraId="1E6E4AAE">
      <w:pPr>
        <w:numPr>
          <w:ilvl w:val="0"/>
          <w:numId w:val="7"/>
        </w:numPr>
        <w:spacing w:line="360" w:lineRule="auto"/>
        <w:ind w:left="1055" w:leftChars="0" w:hanging="425" w:firstLineChars="0"/>
        <w:jc w:val="left"/>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系统需配备温湿度监测：可对接冷链系统，可实现温湿度监测的可视化记录和失控的自动报警功能；</w:t>
      </w:r>
    </w:p>
    <w:p w14:paraId="03478613">
      <w:pPr>
        <w:numPr>
          <w:ilvl w:val="0"/>
          <w:numId w:val="7"/>
        </w:numPr>
        <w:spacing w:line="360" w:lineRule="auto"/>
        <w:ind w:left="1055" w:leftChars="0" w:hanging="425" w:firstLineChars="0"/>
        <w:jc w:val="left"/>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系统需配备流程表单：具有投诉的处理、不符合项报告和纠正措施的流程式记录；</w:t>
      </w:r>
    </w:p>
    <w:p w14:paraId="538426FF">
      <w:pPr>
        <w:numPr>
          <w:ilvl w:val="0"/>
          <w:numId w:val="7"/>
        </w:numPr>
        <w:spacing w:line="360" w:lineRule="auto"/>
        <w:ind w:left="1055" w:leftChars="0" w:hanging="425" w:firstLineChars="0"/>
        <w:jc w:val="left"/>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系统可支持自定义配置：通过系统增加表单格式和记录流程自定义配置。</w:t>
      </w:r>
    </w:p>
    <w:p w14:paraId="049EFDBA">
      <w:pPr>
        <w:numPr>
          <w:ilvl w:val="0"/>
          <w:numId w:val="7"/>
        </w:numPr>
        <w:spacing w:line="360" w:lineRule="auto"/>
        <w:ind w:left="1055" w:leftChars="0" w:hanging="425" w:firstLineChars="0"/>
        <w:jc w:val="left"/>
        <w:outlineLvl w:val="9"/>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岗位工作日志</w:t>
      </w:r>
    </w:p>
    <w:p w14:paraId="1F48827C">
      <w:pPr>
        <w:numPr>
          <w:ilvl w:val="0"/>
          <w:numId w:val="9"/>
        </w:numPr>
        <w:spacing w:line="360" w:lineRule="auto"/>
        <w:ind w:left="1265" w:leftChars="0" w:hanging="425"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系统需按照</w:t>
      </w:r>
      <w:r>
        <w:rPr>
          <w:rStyle w:val="10"/>
          <w:rFonts w:hint="eastAsia" w:ascii="宋体" w:hAnsi="宋体" w:eastAsia="宋体" w:cs="宋体"/>
          <w:color w:val="auto"/>
          <w:sz w:val="21"/>
          <w:szCs w:val="21"/>
          <w:highlight w:val="none"/>
          <w:lang w:val="en-US" w:eastAsia="zh-CN" w:bidi="ar"/>
        </w:rPr>
        <w:t>ISO 15189 2022</w:t>
      </w:r>
      <w:r>
        <w:rPr>
          <w:rStyle w:val="11"/>
          <w:rFonts w:hint="eastAsia" w:ascii="宋体" w:hAnsi="宋体" w:eastAsia="宋体" w:cs="宋体"/>
          <w:color w:val="auto"/>
          <w:sz w:val="21"/>
          <w:szCs w:val="21"/>
          <w:highlight w:val="none"/>
          <w:lang w:val="en-US" w:eastAsia="zh-CN" w:bidi="ar"/>
        </w:rPr>
        <w:t>版最新条款设置工作日志的主体内容；</w:t>
      </w:r>
    </w:p>
    <w:p w14:paraId="230CA214">
      <w:pPr>
        <w:numPr>
          <w:ilvl w:val="0"/>
          <w:numId w:val="9"/>
        </w:numPr>
        <w:spacing w:line="360" w:lineRule="auto"/>
        <w:ind w:left="1265" w:leftChars="0" w:hanging="425"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系统需配置关联表单功能，支持在填写工作日志过程中方便填写相关电子记录；</w:t>
      </w:r>
    </w:p>
    <w:p w14:paraId="6B1D4105">
      <w:pPr>
        <w:numPr>
          <w:ilvl w:val="0"/>
          <w:numId w:val="9"/>
        </w:numPr>
        <w:spacing w:line="360" w:lineRule="auto"/>
        <w:ind w:left="1265" w:leftChars="0" w:hanging="425"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系统需支持班种配置和上下班打卡功能，在没有开通外网情况下可实现上下班考勤打卡；</w:t>
      </w:r>
    </w:p>
    <w:p w14:paraId="37502F1A">
      <w:pPr>
        <w:numPr>
          <w:ilvl w:val="0"/>
          <w:numId w:val="9"/>
        </w:numPr>
        <w:spacing w:line="360" w:lineRule="auto"/>
        <w:ind w:left="1265" w:leftChars="0" w:hanging="425" w:firstLineChars="0"/>
        <w:jc w:val="left"/>
        <w:outlineLvl w:val="9"/>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1"/>
          <w:szCs w:val="21"/>
          <w:highlight w:val="none"/>
          <w:u w:val="none"/>
          <w:lang w:val="en-US" w:eastAsia="zh-CN" w:bidi="ar"/>
        </w:rPr>
        <w:t>需提供工作日志异常统计和考勤统计报表。</w:t>
      </w:r>
    </w:p>
    <w:p w14:paraId="695EC739">
      <w:pPr>
        <w:numPr>
          <w:ilvl w:val="0"/>
          <w:numId w:val="2"/>
        </w:numPr>
        <w:spacing w:line="360" w:lineRule="auto"/>
        <w:ind w:left="-420" w:leftChars="0" w:firstLine="420" w:firstLineChars="0"/>
        <w:jc w:val="left"/>
        <w:outlineLvl w:val="1"/>
        <w:rPr>
          <w:rFonts w:hint="eastAsia" w:ascii="宋体" w:hAnsi="宋体" w:eastAsia="宋体" w:cs="宋体"/>
          <w:b/>
          <w:bCs/>
          <w:color w:val="auto"/>
          <w:sz w:val="24"/>
          <w:szCs w:val="24"/>
          <w:highlight w:val="none"/>
          <w:lang w:val="en-US" w:eastAsia="zh-CN"/>
        </w:rPr>
      </w:pPr>
      <w:bookmarkStart w:id="9" w:name="_Toc27836"/>
      <w:r>
        <w:rPr>
          <w:rFonts w:hint="eastAsia" w:ascii="宋体" w:hAnsi="宋体" w:eastAsia="宋体" w:cs="宋体"/>
          <w:b/>
          <w:bCs/>
          <w:color w:val="auto"/>
          <w:sz w:val="24"/>
          <w:szCs w:val="24"/>
          <w:highlight w:val="none"/>
          <w:lang w:val="en-US" w:eastAsia="zh-CN"/>
        </w:rPr>
        <w:t>认可迎检</w:t>
      </w:r>
      <w:bookmarkEnd w:id="9"/>
    </w:p>
    <w:p w14:paraId="2C32D9CE">
      <w:pPr>
        <w:numPr>
          <w:ilvl w:val="0"/>
          <w:numId w:val="10"/>
        </w:numPr>
        <w:spacing w:line="360" w:lineRule="auto"/>
        <w:ind w:left="845" w:leftChars="0" w:hanging="425"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条款解读和评审要点</w:t>
      </w:r>
    </w:p>
    <w:p w14:paraId="64876B01">
      <w:pPr>
        <w:numPr>
          <w:ilvl w:val="0"/>
          <w:numId w:val="0"/>
        </w:numPr>
        <w:spacing w:line="360" w:lineRule="auto"/>
        <w:ind w:left="840" w:leftChars="0"/>
        <w:jc w:val="left"/>
        <w:outlineLvl w:val="9"/>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系统需要完全按新版标准条款逐条解读，并给出专家现场评审方式和方法；同时按亚专业领域深入解读，并给出各亚专业领域的评审方式、方法和迎检思路；</w:t>
      </w:r>
    </w:p>
    <w:p w14:paraId="55515663">
      <w:pPr>
        <w:numPr>
          <w:ilvl w:val="0"/>
          <w:numId w:val="10"/>
        </w:numPr>
        <w:spacing w:line="360" w:lineRule="auto"/>
        <w:ind w:left="845" w:leftChars="0" w:hanging="425"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条款自查管理</w:t>
      </w:r>
    </w:p>
    <w:p w14:paraId="595FF566">
      <w:pPr>
        <w:numPr>
          <w:ilvl w:val="0"/>
          <w:numId w:val="0"/>
        </w:numPr>
        <w:spacing w:line="360" w:lineRule="auto"/>
        <w:ind w:left="840" w:leftChars="0"/>
        <w:jc w:val="left"/>
        <w:outlineLvl w:val="9"/>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系统需实现ISO15189认可准则、应用要求等相关文件的任务分配和条款自查功能，确保每个条款落实到人，全员参与，循序渐进，自查自纠，监控条款完成情况和认可进度，并且可关联相关文件和记录功能；</w:t>
      </w:r>
    </w:p>
    <w:p w14:paraId="5A6E5430">
      <w:pPr>
        <w:numPr>
          <w:ilvl w:val="0"/>
          <w:numId w:val="10"/>
        </w:numPr>
        <w:spacing w:line="360" w:lineRule="auto"/>
        <w:ind w:left="845" w:leftChars="0" w:hanging="425"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个人工作台</w:t>
      </w:r>
    </w:p>
    <w:p w14:paraId="607708FB">
      <w:pPr>
        <w:numPr>
          <w:ilvl w:val="0"/>
          <w:numId w:val="0"/>
        </w:numPr>
        <w:spacing w:line="360" w:lineRule="auto"/>
        <w:ind w:left="840" w:leftChars="0"/>
        <w:jc w:val="left"/>
        <w:outlineLvl w:val="9"/>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系统需支持各种证据性文件上传保存，与内审系统交互，提升内审和现场评审质量和效率。</w:t>
      </w:r>
    </w:p>
    <w:p w14:paraId="59D07DB6">
      <w:pPr>
        <w:numPr>
          <w:ilvl w:val="0"/>
          <w:numId w:val="2"/>
        </w:numPr>
        <w:spacing w:line="360" w:lineRule="auto"/>
        <w:ind w:left="-420" w:leftChars="0" w:firstLine="420" w:firstLineChars="0"/>
        <w:jc w:val="left"/>
        <w:outlineLvl w:val="1"/>
        <w:rPr>
          <w:rFonts w:hint="eastAsia" w:ascii="宋体" w:hAnsi="宋体" w:eastAsia="宋体" w:cs="宋体"/>
          <w:b/>
          <w:bCs/>
          <w:color w:val="auto"/>
          <w:sz w:val="24"/>
          <w:szCs w:val="24"/>
          <w:highlight w:val="none"/>
          <w:lang w:val="en-US" w:eastAsia="zh-CN"/>
        </w:rPr>
      </w:pPr>
      <w:bookmarkStart w:id="10" w:name="_Toc11022"/>
      <w:r>
        <w:rPr>
          <w:rFonts w:hint="eastAsia" w:ascii="宋体" w:hAnsi="宋体" w:eastAsia="宋体" w:cs="宋体"/>
          <w:b/>
          <w:bCs/>
          <w:color w:val="auto"/>
          <w:sz w:val="24"/>
          <w:szCs w:val="24"/>
          <w:highlight w:val="none"/>
          <w:lang w:val="en-US" w:eastAsia="zh-CN"/>
        </w:rPr>
        <w:t>内部审核</w:t>
      </w:r>
      <w:bookmarkEnd w:id="10"/>
    </w:p>
    <w:p w14:paraId="72C36C73">
      <w:pPr>
        <w:numPr>
          <w:ilvl w:val="0"/>
          <w:numId w:val="11"/>
        </w:numPr>
        <w:spacing w:line="360" w:lineRule="auto"/>
        <w:ind w:left="845" w:leftChars="0" w:hanging="425"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内审核查管理</w:t>
      </w:r>
    </w:p>
    <w:p w14:paraId="1C5D7562">
      <w:pPr>
        <w:numPr>
          <w:ilvl w:val="0"/>
          <w:numId w:val="12"/>
        </w:numPr>
        <w:spacing w:line="360" w:lineRule="auto"/>
        <w:ind w:left="1265" w:leftChars="0" w:hanging="425"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系统需按照CNAS-GL011：2018《实验室和检验机构内部审核指南》要求，从内审策划到完成内审报告，各个环节按照指南要求固化内审流程，预置相关表单和内审核查表；</w:t>
      </w:r>
    </w:p>
    <w:p w14:paraId="500A7ED4">
      <w:pPr>
        <w:numPr>
          <w:ilvl w:val="0"/>
          <w:numId w:val="12"/>
        </w:numPr>
        <w:spacing w:line="360" w:lineRule="auto"/>
        <w:ind w:left="1265" w:leftChars="0" w:hanging="425"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系统支持与认可迎检系统交互，条款自查数据和支撑材料可以直接提交至内审系统，作为内审的直接证据；通过关联功能可直接跳转至相关文件及表单；</w:t>
      </w:r>
    </w:p>
    <w:p w14:paraId="68DBC3A0">
      <w:pPr>
        <w:numPr>
          <w:ilvl w:val="0"/>
          <w:numId w:val="12"/>
        </w:numPr>
        <w:spacing w:line="360" w:lineRule="auto"/>
        <w:ind w:left="1265" w:leftChars="0" w:hanging="425"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需要系统预置认可准则和各专业领域应用说明内部审核表；</w:t>
      </w:r>
    </w:p>
    <w:p w14:paraId="7E834320">
      <w:pPr>
        <w:numPr>
          <w:ilvl w:val="0"/>
          <w:numId w:val="12"/>
        </w:numPr>
        <w:spacing w:line="360" w:lineRule="auto"/>
        <w:ind w:left="1265" w:leftChars="0" w:hanging="425"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需要需支持同个条款不同专业组不同判断结果；</w:t>
      </w:r>
    </w:p>
    <w:p w14:paraId="2B48F519">
      <w:pPr>
        <w:numPr>
          <w:ilvl w:val="0"/>
          <w:numId w:val="12"/>
        </w:numPr>
        <w:spacing w:line="360" w:lineRule="auto"/>
        <w:ind w:left="1265" w:leftChars="0" w:hanging="425"/>
        <w:jc w:val="left"/>
        <w:outlineLvl w:val="9"/>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内部审核系统需要与电子记录系统交互，需实现自动启动不符合项整改流程，同时可通过系统监控纠正措施实施进度和完成情况，支持自动生成不符合项报告和纠正措施记录表。</w:t>
      </w:r>
    </w:p>
    <w:p w14:paraId="2D9E8C04">
      <w:pPr>
        <w:numPr>
          <w:ilvl w:val="0"/>
          <w:numId w:val="2"/>
        </w:numPr>
        <w:spacing w:line="360" w:lineRule="auto"/>
        <w:ind w:left="-420" w:leftChars="0" w:firstLine="420" w:firstLineChars="0"/>
        <w:jc w:val="left"/>
        <w:outlineLvl w:val="1"/>
        <w:rPr>
          <w:rFonts w:hint="eastAsia" w:ascii="宋体" w:hAnsi="宋体" w:eastAsia="宋体" w:cs="宋体"/>
          <w:b/>
          <w:bCs/>
          <w:color w:val="auto"/>
          <w:sz w:val="24"/>
          <w:szCs w:val="24"/>
          <w:highlight w:val="none"/>
          <w:lang w:val="en-US" w:eastAsia="zh-CN"/>
        </w:rPr>
      </w:pPr>
      <w:bookmarkStart w:id="11" w:name="_Toc21605"/>
      <w:r>
        <w:rPr>
          <w:rFonts w:hint="eastAsia" w:ascii="宋体" w:hAnsi="宋体" w:eastAsia="宋体" w:cs="宋体"/>
          <w:b/>
          <w:bCs/>
          <w:color w:val="auto"/>
          <w:sz w:val="24"/>
          <w:szCs w:val="24"/>
          <w:highlight w:val="none"/>
          <w:lang w:val="en-US" w:eastAsia="zh-CN"/>
        </w:rPr>
        <w:t>人事管理</w:t>
      </w:r>
      <w:bookmarkEnd w:id="11"/>
    </w:p>
    <w:p w14:paraId="41FF7595">
      <w:pPr>
        <w:numPr>
          <w:ilvl w:val="0"/>
          <w:numId w:val="13"/>
        </w:numPr>
        <w:spacing w:line="360" w:lineRule="auto"/>
        <w:ind w:left="845" w:leftChars="0" w:hanging="425" w:firstLineChars="0"/>
        <w:jc w:val="left"/>
        <w:outlineLvl w:val="9"/>
        <w:rPr>
          <w:rFonts w:hint="eastAsia"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人员档案管理</w:t>
      </w:r>
    </w:p>
    <w:p w14:paraId="294E9642">
      <w:pPr>
        <w:numPr>
          <w:ilvl w:val="0"/>
          <w:numId w:val="14"/>
        </w:numPr>
        <w:spacing w:line="360" w:lineRule="auto"/>
        <w:ind w:left="1265" w:leftChars="0" w:hanging="425" w:firstLineChars="0"/>
        <w:jc w:val="left"/>
        <w:outlineLvl w:val="9"/>
        <w:rPr>
          <w:rFonts w:hint="eastAsia"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系统需全面符合新版标准6.2的要求：记录内容包括人员基本信息、教育经历、工作经历、专业轮岗记录、培训记录、进修记录、继续教育、论文专著、社会任职、资质证书、科研成果、个人健康信息；</w:t>
      </w:r>
    </w:p>
    <w:p w14:paraId="2AB0640C">
      <w:pPr>
        <w:numPr>
          <w:ilvl w:val="0"/>
          <w:numId w:val="14"/>
        </w:numPr>
        <w:spacing w:line="360" w:lineRule="auto"/>
        <w:ind w:left="1265" w:leftChars="0" w:hanging="425" w:firstLineChars="0"/>
        <w:jc w:val="left"/>
        <w:outlineLvl w:val="9"/>
        <w:rPr>
          <w:rFonts w:hint="eastAsia"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人事管理系统需能实现与电子记录相关联，个人技术培训记录自动存入个人电子档案；</w:t>
      </w:r>
    </w:p>
    <w:p w14:paraId="353834BF">
      <w:pPr>
        <w:numPr>
          <w:ilvl w:val="0"/>
          <w:numId w:val="14"/>
        </w:numPr>
        <w:spacing w:line="360" w:lineRule="auto"/>
        <w:ind w:left="1265" w:leftChars="0" w:hanging="425" w:firstLineChars="0"/>
        <w:jc w:val="left"/>
        <w:outlineLvl w:val="9"/>
        <w:rPr>
          <w:rFonts w:hint="eastAsia"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系统需支持各种支撑材料可实现拍照或扫描录入；</w:t>
      </w:r>
    </w:p>
    <w:p w14:paraId="20AFF985">
      <w:pPr>
        <w:numPr>
          <w:ilvl w:val="0"/>
          <w:numId w:val="13"/>
        </w:numPr>
        <w:spacing w:line="360" w:lineRule="auto"/>
        <w:ind w:left="845" w:leftChars="0" w:hanging="425" w:firstLineChars="0"/>
        <w:jc w:val="left"/>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科室人员管理</w:t>
      </w:r>
    </w:p>
    <w:p w14:paraId="7461508F">
      <w:pPr>
        <w:numPr>
          <w:ilvl w:val="-1"/>
          <w:numId w:val="0"/>
        </w:numPr>
        <w:spacing w:line="360" w:lineRule="auto"/>
        <w:ind w:left="840" w:leftChars="0" w:firstLine="0" w:firstLineChars="0"/>
        <w:jc w:val="left"/>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可通过系统实现岗位培训、能力评估、授权记录管理通过流程式表单进行登记和审批；</w:t>
      </w:r>
    </w:p>
    <w:p w14:paraId="3CFAF2C4">
      <w:pPr>
        <w:numPr>
          <w:ilvl w:val="0"/>
          <w:numId w:val="13"/>
        </w:numPr>
        <w:spacing w:line="360" w:lineRule="auto"/>
        <w:ind w:left="845" w:leftChars="0" w:hanging="425" w:firstLineChars="0"/>
        <w:jc w:val="left"/>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自定义配置</w:t>
      </w:r>
    </w:p>
    <w:p w14:paraId="785AAD89">
      <w:pPr>
        <w:numPr>
          <w:ilvl w:val="-1"/>
          <w:numId w:val="0"/>
        </w:numPr>
        <w:spacing w:line="360" w:lineRule="auto"/>
        <w:ind w:left="840" w:leftChars="0" w:firstLine="0" w:firstLineChars="0"/>
        <w:jc w:val="left"/>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需支持人员个人技术档案记录表单自定义配置；</w:t>
      </w:r>
    </w:p>
    <w:p w14:paraId="57E1266B">
      <w:pPr>
        <w:numPr>
          <w:ilvl w:val="0"/>
          <w:numId w:val="13"/>
        </w:numPr>
        <w:spacing w:line="360" w:lineRule="auto"/>
        <w:ind w:left="845" w:leftChars="0" w:hanging="425" w:firstLineChars="0"/>
        <w:jc w:val="left"/>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文件导出</w:t>
      </w:r>
    </w:p>
    <w:p w14:paraId="286DC082">
      <w:pPr>
        <w:numPr>
          <w:ilvl w:val="-1"/>
          <w:numId w:val="0"/>
        </w:numPr>
        <w:spacing w:line="360" w:lineRule="auto"/>
        <w:ind w:left="840" w:leftChars="0"/>
        <w:jc w:val="left"/>
        <w:outlineLvl w:val="9"/>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系统需支持自定义信息导出。</w:t>
      </w:r>
    </w:p>
    <w:p w14:paraId="1DABC49D">
      <w:pPr>
        <w:numPr>
          <w:ilvl w:val="0"/>
          <w:numId w:val="2"/>
        </w:numPr>
        <w:spacing w:line="360" w:lineRule="auto"/>
        <w:ind w:left="-420" w:leftChars="0" w:firstLine="420" w:firstLineChars="0"/>
        <w:jc w:val="left"/>
        <w:outlineLvl w:val="1"/>
        <w:rPr>
          <w:rFonts w:hint="eastAsia" w:ascii="宋体" w:hAnsi="宋体" w:eastAsia="宋体" w:cs="宋体"/>
          <w:b/>
          <w:bCs/>
          <w:color w:val="auto"/>
          <w:sz w:val="24"/>
          <w:szCs w:val="24"/>
          <w:highlight w:val="none"/>
          <w:lang w:val="en-US" w:eastAsia="zh-CN"/>
        </w:rPr>
      </w:pPr>
      <w:bookmarkStart w:id="12" w:name="_Toc11372"/>
      <w:r>
        <w:rPr>
          <w:rFonts w:hint="eastAsia" w:ascii="宋体" w:hAnsi="宋体" w:eastAsia="宋体" w:cs="宋体"/>
          <w:b/>
          <w:bCs/>
          <w:color w:val="auto"/>
          <w:sz w:val="24"/>
          <w:szCs w:val="24"/>
          <w:highlight w:val="none"/>
          <w:lang w:val="en-US" w:eastAsia="zh-CN"/>
        </w:rPr>
        <w:t>设备管理</w:t>
      </w:r>
      <w:bookmarkEnd w:id="12"/>
    </w:p>
    <w:p w14:paraId="66A6B882">
      <w:pPr>
        <w:numPr>
          <w:ilvl w:val="0"/>
          <w:numId w:val="15"/>
        </w:numPr>
        <w:spacing w:line="360" w:lineRule="auto"/>
        <w:ind w:left="845" w:leftChars="0" w:hanging="425" w:firstLineChars="0"/>
        <w:jc w:val="left"/>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仪器设备履历表</w:t>
      </w:r>
    </w:p>
    <w:p w14:paraId="370E1834">
      <w:pPr>
        <w:numPr>
          <w:ilvl w:val="0"/>
          <w:numId w:val="16"/>
        </w:numPr>
        <w:spacing w:line="360" w:lineRule="auto"/>
        <w:ind w:left="1265" w:leftChars="0" w:hanging="425" w:firstLineChars="0"/>
        <w:jc w:val="left"/>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系统需覆盖设备整个生命周期的各个环节，建立设备层次结构、位置体系和分类体系；</w:t>
      </w:r>
    </w:p>
    <w:p w14:paraId="117F5030">
      <w:pPr>
        <w:numPr>
          <w:ilvl w:val="0"/>
          <w:numId w:val="16"/>
        </w:numPr>
        <w:spacing w:line="360" w:lineRule="auto"/>
        <w:ind w:left="1265" w:leftChars="0" w:hanging="425" w:firstLineChars="0"/>
        <w:jc w:val="left"/>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系统需建立完备的设备档案，设备信息完整，包括设备基本信息、仪器类别、所属部门、负责人、厂商、供应商，可上传三证、说明书等资料；并符合新版标准6.3的要求；</w:t>
      </w:r>
    </w:p>
    <w:p w14:paraId="6E82CB19">
      <w:pPr>
        <w:numPr>
          <w:ilvl w:val="0"/>
          <w:numId w:val="16"/>
        </w:numPr>
        <w:spacing w:line="360" w:lineRule="auto"/>
        <w:ind w:left="1265" w:leftChars="0" w:hanging="425" w:firstLineChars="0"/>
        <w:jc w:val="left"/>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系统需支持设备信息可按部门、岗位、负责人等自定义分类规则索引，相关信息可在全平台调用。</w:t>
      </w:r>
    </w:p>
    <w:p w14:paraId="67AEE54A">
      <w:pPr>
        <w:numPr>
          <w:ilvl w:val="0"/>
          <w:numId w:val="15"/>
        </w:numPr>
        <w:spacing w:line="360" w:lineRule="auto"/>
        <w:ind w:left="845" w:leftChars="0" w:hanging="425" w:firstLineChars="0"/>
        <w:jc w:val="left"/>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设备一览表</w:t>
      </w:r>
    </w:p>
    <w:p w14:paraId="1C6DBC4D">
      <w:pPr>
        <w:numPr>
          <w:ilvl w:val="0"/>
          <w:numId w:val="17"/>
        </w:numPr>
        <w:spacing w:line="360" w:lineRule="auto"/>
        <w:ind w:left="1265" w:leftChars="0" w:hanging="425" w:firstLineChars="0"/>
        <w:jc w:val="left"/>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系统应可实现与电子记录交互，建立和共享设备校准记录、维护保养记录、维修记录；自动统计分析设备情况，包括资产总值、大小型设备分布情况、专业组设备情况等；</w:t>
      </w:r>
    </w:p>
    <w:p w14:paraId="1501E659">
      <w:pPr>
        <w:numPr>
          <w:ilvl w:val="0"/>
          <w:numId w:val="17"/>
        </w:numPr>
        <w:spacing w:line="360" w:lineRule="auto"/>
        <w:ind w:left="1265" w:leftChars="0" w:hanging="425"/>
        <w:jc w:val="left"/>
        <w:outlineLvl w:val="9"/>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系统需支持可按计划按时提醒工作人员执行相关计划，并快捷执行。</w:t>
      </w:r>
    </w:p>
    <w:p w14:paraId="15C45D45">
      <w:pPr>
        <w:numPr>
          <w:ilvl w:val="0"/>
          <w:numId w:val="2"/>
        </w:numPr>
        <w:spacing w:line="360" w:lineRule="auto"/>
        <w:ind w:left="-420" w:leftChars="0" w:firstLine="420" w:firstLineChars="0"/>
        <w:jc w:val="left"/>
        <w:outlineLvl w:val="1"/>
        <w:rPr>
          <w:rFonts w:hint="eastAsia" w:ascii="宋体" w:hAnsi="宋体" w:eastAsia="宋体" w:cs="宋体"/>
          <w:b/>
          <w:bCs/>
          <w:color w:val="auto"/>
          <w:sz w:val="24"/>
          <w:szCs w:val="24"/>
          <w:highlight w:val="none"/>
          <w:lang w:val="en-US" w:eastAsia="zh-CN"/>
        </w:rPr>
      </w:pPr>
      <w:bookmarkStart w:id="13" w:name="_Toc32734"/>
      <w:r>
        <w:rPr>
          <w:rFonts w:hint="eastAsia" w:ascii="宋体" w:hAnsi="宋体" w:eastAsia="宋体" w:cs="宋体"/>
          <w:b/>
          <w:bCs/>
          <w:color w:val="auto"/>
          <w:sz w:val="24"/>
          <w:szCs w:val="24"/>
          <w:highlight w:val="none"/>
          <w:lang w:val="en-US" w:eastAsia="zh-CN"/>
        </w:rPr>
        <w:t>性能评价</w:t>
      </w:r>
      <w:bookmarkEnd w:id="13"/>
    </w:p>
    <w:p w14:paraId="00A77F97">
      <w:pPr>
        <w:numPr>
          <w:ilvl w:val="0"/>
          <w:numId w:val="18"/>
        </w:numPr>
        <w:spacing w:line="360" w:lineRule="auto"/>
        <w:ind w:left="845" w:leftChars="0" w:hanging="425" w:firstLineChars="0"/>
        <w:jc w:val="left"/>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系统流程</w:t>
      </w:r>
    </w:p>
    <w:p w14:paraId="429D6BA8">
      <w:pPr>
        <w:numPr>
          <w:ilvl w:val="-1"/>
          <w:numId w:val="0"/>
        </w:numPr>
        <w:spacing w:line="360" w:lineRule="auto"/>
        <w:ind w:left="840" w:leftChars="0" w:firstLine="0" w:firstLineChars="0"/>
        <w:jc w:val="left"/>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系统需支持按项目来选择实验方法。</w:t>
      </w:r>
    </w:p>
    <w:p w14:paraId="65C65B6B">
      <w:pPr>
        <w:numPr>
          <w:ilvl w:val="0"/>
          <w:numId w:val="18"/>
        </w:numPr>
        <w:spacing w:line="360" w:lineRule="auto"/>
        <w:ind w:left="845" w:leftChars="0" w:hanging="425" w:firstLineChars="0"/>
        <w:jc w:val="left"/>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性能验证和性能确认</w:t>
      </w:r>
    </w:p>
    <w:p w14:paraId="1F193FA3">
      <w:pPr>
        <w:numPr>
          <w:ilvl w:val="-1"/>
          <w:numId w:val="0"/>
        </w:numPr>
        <w:spacing w:line="360" w:lineRule="auto"/>
        <w:ind w:left="840" w:leftChars="0" w:firstLine="0" w:firstLineChars="0"/>
        <w:jc w:val="left"/>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需支持提供一系列的性能评价方案和模型,符合新版标准7.3的全部要求；性能评价指标应包括精密度、正确度、准确度、分析测量范围、临床可报告范围、分析灵敏性、检出限、分析干扰、参考区间和测量不确定度评定、EP算法和定性实验。</w:t>
      </w:r>
    </w:p>
    <w:p w14:paraId="25410003">
      <w:pPr>
        <w:numPr>
          <w:ilvl w:val="0"/>
          <w:numId w:val="18"/>
        </w:numPr>
        <w:spacing w:line="360" w:lineRule="auto"/>
        <w:ind w:left="845" w:leftChars="0" w:hanging="425" w:firstLineChars="0"/>
        <w:jc w:val="left"/>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系统需支持评价报告的自动存储功能</w:t>
      </w:r>
    </w:p>
    <w:p w14:paraId="4F6AF86C">
      <w:pPr>
        <w:numPr>
          <w:ilvl w:val="0"/>
          <w:numId w:val="18"/>
        </w:numPr>
        <w:spacing w:line="360" w:lineRule="auto"/>
        <w:ind w:left="845" w:leftChars="0" w:hanging="425" w:firstLineChars="0"/>
        <w:jc w:val="left"/>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系统应该涵盖配置</w:t>
      </w:r>
    </w:p>
    <w:p w14:paraId="260C56A2">
      <w:pPr>
        <w:numPr>
          <w:ilvl w:val="-1"/>
          <w:numId w:val="0"/>
        </w:numPr>
        <w:spacing w:line="360" w:lineRule="auto"/>
        <w:ind w:left="420" w:leftChars="0" w:firstLine="420" w:firstLineChars="200"/>
        <w:jc w:val="left"/>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检验项目配置、仪器配置表、模块配置、评价指标、实验方案配置、模块方案查询。</w:t>
      </w:r>
    </w:p>
    <w:p w14:paraId="5314A28B">
      <w:pPr>
        <w:numPr>
          <w:ilvl w:val="0"/>
          <w:numId w:val="18"/>
        </w:numPr>
        <w:spacing w:line="360" w:lineRule="auto"/>
        <w:ind w:left="845" w:leftChars="0" w:hanging="425" w:firstLineChars="0"/>
        <w:jc w:val="left"/>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系统应提供个人工作台</w:t>
      </w:r>
    </w:p>
    <w:p w14:paraId="159C2791">
      <w:pPr>
        <w:numPr>
          <w:ilvl w:val="-1"/>
          <w:numId w:val="0"/>
        </w:numPr>
        <w:spacing w:line="360" w:lineRule="auto"/>
        <w:ind w:left="420" w:leftChars="0" w:firstLine="420" w:firstLineChars="200"/>
        <w:jc w:val="left"/>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可实验分配、可查看个人实验功能。</w:t>
      </w:r>
    </w:p>
    <w:p w14:paraId="60E48AF1">
      <w:pPr>
        <w:numPr>
          <w:ilvl w:val="0"/>
          <w:numId w:val="18"/>
        </w:numPr>
        <w:spacing w:line="360" w:lineRule="auto"/>
        <w:ind w:left="845" w:leftChars="0" w:hanging="425" w:firstLineChars="0"/>
        <w:jc w:val="left"/>
        <w:outlineLvl w:val="9"/>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系统需支持数据查询</w:t>
      </w:r>
    </w:p>
    <w:p w14:paraId="2589D3B4">
      <w:pPr>
        <w:numPr>
          <w:ilvl w:val="-1"/>
          <w:numId w:val="0"/>
        </w:numPr>
        <w:spacing w:line="360" w:lineRule="auto"/>
        <w:ind w:left="420" w:leftChars="0" w:firstLine="420" w:firstLineChars="200"/>
        <w:jc w:val="left"/>
        <w:outlineLvl w:val="9"/>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支持实验报告归档、实验算法、方法一览表。</w:t>
      </w:r>
    </w:p>
    <w:p w14:paraId="427C8974">
      <w:pPr>
        <w:numPr>
          <w:ilvl w:val="0"/>
          <w:numId w:val="2"/>
        </w:numPr>
        <w:spacing w:line="360" w:lineRule="auto"/>
        <w:ind w:left="-420" w:leftChars="0" w:firstLine="420" w:firstLineChars="0"/>
        <w:jc w:val="left"/>
        <w:outlineLvl w:val="1"/>
        <w:rPr>
          <w:rFonts w:hint="eastAsia" w:ascii="宋体" w:hAnsi="宋体" w:eastAsia="宋体" w:cs="宋体"/>
          <w:b/>
          <w:bCs/>
          <w:color w:val="auto"/>
          <w:sz w:val="24"/>
          <w:szCs w:val="24"/>
          <w:highlight w:val="none"/>
          <w:lang w:val="en-US" w:eastAsia="zh-CN"/>
        </w:rPr>
      </w:pPr>
      <w:bookmarkStart w:id="14" w:name="_Toc1797"/>
      <w:r>
        <w:rPr>
          <w:rFonts w:hint="eastAsia" w:ascii="宋体" w:hAnsi="宋体" w:eastAsia="宋体" w:cs="宋体"/>
          <w:b/>
          <w:bCs/>
          <w:color w:val="auto"/>
          <w:sz w:val="24"/>
          <w:szCs w:val="24"/>
          <w:highlight w:val="none"/>
          <w:lang w:val="en-US" w:eastAsia="zh-CN"/>
        </w:rPr>
        <w:t>管理评审</w:t>
      </w:r>
      <w:bookmarkEnd w:id="14"/>
    </w:p>
    <w:p w14:paraId="3A4BFD76">
      <w:pPr>
        <w:numPr>
          <w:ilvl w:val="0"/>
          <w:numId w:val="19"/>
        </w:numPr>
        <w:spacing w:line="360" w:lineRule="auto"/>
        <w:ind w:left="845" w:leftChars="0" w:hanging="425" w:firstLineChars="0"/>
        <w:jc w:val="left"/>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sz w:val="21"/>
          <w:szCs w:val="21"/>
          <w:highlight w:val="none"/>
          <w:u w:val="none"/>
          <w:lang w:val="en-US" w:eastAsia="zh-CN"/>
        </w:rPr>
        <w:t>管理评审流程分工</w:t>
      </w:r>
    </w:p>
    <w:p w14:paraId="240FAEFB">
      <w:pPr>
        <w:numPr>
          <w:ilvl w:val="0"/>
          <w:numId w:val="20"/>
        </w:numPr>
        <w:spacing w:line="360" w:lineRule="auto"/>
        <w:ind w:left="1265" w:leftChars="0" w:hanging="425" w:firstLineChars="0"/>
        <w:jc w:val="left"/>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系统需完全满足ISO 15189对管理评审的业务要求，对管理评审进行全流程无纸化管理，包括制定评审计划、维护输入报告、召开评审会议、维护评审输出、整理评审总结报告；</w:t>
      </w:r>
    </w:p>
    <w:p w14:paraId="3F3C8E19">
      <w:pPr>
        <w:numPr>
          <w:ilvl w:val="0"/>
          <w:numId w:val="20"/>
        </w:numPr>
        <w:spacing w:line="360" w:lineRule="auto"/>
        <w:ind w:left="1265" w:leftChars="0" w:hanging="425" w:firstLineChars="0"/>
        <w:jc w:val="left"/>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系统需支持可设定每年科室的管理评审计划和每次管理评审具体的评审时间、评审成员和评审内容，针对每个评审内容指定对应人员进行调查分析，完成评审输入报告；</w:t>
      </w:r>
    </w:p>
    <w:p w14:paraId="0E3CCB68">
      <w:pPr>
        <w:numPr>
          <w:ilvl w:val="0"/>
          <w:numId w:val="20"/>
        </w:numPr>
        <w:spacing w:line="360" w:lineRule="auto"/>
        <w:ind w:left="1265" w:leftChars="0" w:hanging="425" w:firstLineChars="0"/>
        <w:jc w:val="left"/>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系统需支持提供评审会议管理功能，可进行参会人员二维码扫码签到，记录会议内容和上传相关附件，并形成评审内容的输出；</w:t>
      </w:r>
    </w:p>
    <w:p w14:paraId="01F904F4">
      <w:pPr>
        <w:numPr>
          <w:ilvl w:val="0"/>
          <w:numId w:val="20"/>
        </w:numPr>
        <w:spacing w:line="360" w:lineRule="auto"/>
        <w:ind w:left="1265" w:leftChars="0" w:hanging="425" w:firstLineChars="0"/>
        <w:jc w:val="left"/>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系统需支持与电子记录流程相结合，启动电子化流程，针对评审输出内容进行持续改进管理，完成评审输出项的闭环管理；</w:t>
      </w:r>
    </w:p>
    <w:p w14:paraId="44D65F86">
      <w:pPr>
        <w:numPr>
          <w:ilvl w:val="0"/>
          <w:numId w:val="20"/>
        </w:numPr>
        <w:spacing w:line="360" w:lineRule="auto"/>
        <w:ind w:left="1265" w:leftChars="0" w:hanging="425" w:firstLineChars="0"/>
        <w:jc w:val="left"/>
        <w:outlineLvl w:val="9"/>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系统需支持可形成完整的管理评审报告，包括每项评审内容的评审结果、持续改进的计划和措施。</w:t>
      </w:r>
    </w:p>
    <w:p w14:paraId="7665CA2E">
      <w:pPr>
        <w:numPr>
          <w:ilvl w:val="0"/>
          <w:numId w:val="2"/>
        </w:numPr>
        <w:spacing w:line="360" w:lineRule="auto"/>
        <w:ind w:left="-420" w:leftChars="0" w:firstLine="420" w:firstLineChars="0"/>
        <w:jc w:val="left"/>
        <w:outlineLvl w:val="1"/>
        <w:rPr>
          <w:rFonts w:hint="eastAsia" w:ascii="宋体" w:hAnsi="宋体" w:eastAsia="宋体" w:cs="宋体"/>
          <w:b/>
          <w:bCs/>
          <w:color w:val="auto"/>
          <w:sz w:val="24"/>
          <w:szCs w:val="24"/>
          <w:highlight w:val="none"/>
          <w:lang w:val="en-US" w:eastAsia="zh-CN"/>
        </w:rPr>
      </w:pPr>
      <w:bookmarkStart w:id="15" w:name="_Toc14745"/>
      <w:r>
        <w:rPr>
          <w:rFonts w:hint="eastAsia" w:ascii="宋体" w:hAnsi="宋体" w:eastAsia="宋体" w:cs="宋体"/>
          <w:b/>
          <w:bCs/>
          <w:color w:val="auto"/>
          <w:sz w:val="24"/>
          <w:szCs w:val="24"/>
          <w:highlight w:val="none"/>
          <w:lang w:val="en-US" w:eastAsia="zh-CN"/>
        </w:rPr>
        <w:t>认可申请</w:t>
      </w:r>
      <w:bookmarkEnd w:id="15"/>
    </w:p>
    <w:p w14:paraId="4AF10E6B">
      <w:pPr>
        <w:numPr>
          <w:ilvl w:val="0"/>
          <w:numId w:val="21"/>
        </w:numPr>
        <w:spacing w:line="360" w:lineRule="auto"/>
        <w:ind w:left="845" w:leftChars="0" w:hanging="425" w:firstLineChars="0"/>
        <w:jc w:val="left"/>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标准库管理</w:t>
      </w:r>
    </w:p>
    <w:p w14:paraId="72573326">
      <w:pPr>
        <w:numPr>
          <w:ilvl w:val="0"/>
          <w:numId w:val="22"/>
        </w:numPr>
        <w:spacing w:line="360" w:lineRule="auto"/>
        <w:ind w:left="1265" w:leftChars="0" w:hanging="425" w:firstLineChars="0"/>
        <w:jc w:val="left"/>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系统应涵盖标准项目库、标准仪器设备库、标准试剂耗材库，实验室只需要从中选择本实验室开展/认可项目、对应的仪器设备、试剂耗材，即可形成本实验室的基础数据库；</w:t>
      </w:r>
    </w:p>
    <w:p w14:paraId="304E8E30">
      <w:pPr>
        <w:numPr>
          <w:ilvl w:val="0"/>
          <w:numId w:val="22"/>
        </w:numPr>
        <w:spacing w:line="360" w:lineRule="auto"/>
        <w:ind w:left="1265" w:leftChars="0" w:hanging="425" w:firstLineChars="0"/>
        <w:jc w:val="left"/>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系统需支持利用基础数据库自动生成认可能力范围一览表、量值溯源一览表、仪器设备一览表、试剂耗材一览表、实验室人员一览表等实验室认可需要的数据报表，方便实验室进行数据管理和认可申请。</w:t>
      </w:r>
    </w:p>
    <w:p w14:paraId="77450D77">
      <w:pPr>
        <w:numPr>
          <w:ilvl w:val="0"/>
          <w:numId w:val="21"/>
        </w:numPr>
        <w:spacing w:line="360" w:lineRule="auto"/>
        <w:ind w:left="845" w:leftChars="0" w:hanging="425" w:firstLineChars="0"/>
        <w:jc w:val="left"/>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认可申报材料管理</w:t>
      </w:r>
    </w:p>
    <w:p w14:paraId="477EA95F">
      <w:pPr>
        <w:numPr>
          <w:ilvl w:val="0"/>
          <w:numId w:val="23"/>
        </w:numPr>
        <w:spacing w:line="360" w:lineRule="auto"/>
        <w:ind w:left="1265" w:leftChars="0" w:hanging="425" w:firstLineChars="0"/>
        <w:jc w:val="left"/>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系统应内置认可申报需要的材料文件模版和范例文件，方便实验室进行学习；</w:t>
      </w:r>
    </w:p>
    <w:p w14:paraId="33397E13">
      <w:pPr>
        <w:numPr>
          <w:ilvl w:val="0"/>
          <w:numId w:val="23"/>
        </w:numPr>
        <w:spacing w:line="360" w:lineRule="auto"/>
        <w:ind w:left="1265" w:leftChars="0" w:hanging="425" w:firstLineChars="0"/>
        <w:jc w:val="left"/>
        <w:outlineLvl w:val="9"/>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系统应提供认可申请管理，实验室可以按照每次认可申请上传对应文件，完成上传可下载所有文件形成上报文件夹。</w:t>
      </w:r>
    </w:p>
    <w:p w14:paraId="0223259A">
      <w:pPr>
        <w:numPr>
          <w:ilvl w:val="0"/>
          <w:numId w:val="2"/>
        </w:numPr>
        <w:spacing w:line="360" w:lineRule="auto"/>
        <w:ind w:left="-420" w:leftChars="0" w:firstLine="420" w:firstLineChars="0"/>
        <w:jc w:val="left"/>
        <w:outlineLvl w:val="1"/>
        <w:rPr>
          <w:rFonts w:hint="eastAsia" w:ascii="宋体" w:hAnsi="宋体" w:eastAsia="宋体" w:cs="宋体"/>
          <w:b/>
          <w:bCs/>
          <w:color w:val="auto"/>
          <w:sz w:val="24"/>
          <w:szCs w:val="24"/>
          <w:highlight w:val="none"/>
          <w:lang w:val="en-US" w:eastAsia="zh-CN"/>
        </w:rPr>
      </w:pPr>
      <w:bookmarkStart w:id="16" w:name="_Toc9712"/>
      <w:r>
        <w:rPr>
          <w:rFonts w:hint="eastAsia" w:ascii="宋体" w:hAnsi="宋体" w:eastAsia="宋体" w:cs="宋体"/>
          <w:b/>
          <w:bCs/>
          <w:color w:val="auto"/>
          <w:sz w:val="24"/>
          <w:szCs w:val="24"/>
          <w:highlight w:val="none"/>
          <w:lang w:val="en-US" w:eastAsia="zh-CN"/>
        </w:rPr>
        <w:t>智能考核</w:t>
      </w:r>
      <w:bookmarkEnd w:id="16"/>
    </w:p>
    <w:p w14:paraId="3B423DB1">
      <w:pPr>
        <w:numPr>
          <w:ilvl w:val="0"/>
          <w:numId w:val="24"/>
        </w:numPr>
        <w:spacing w:line="360" w:lineRule="auto"/>
        <w:ind w:left="845" w:leftChars="0" w:hanging="425" w:firstLineChars="0"/>
        <w:jc w:val="left"/>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系统需支持题库管理：内置题库管理可对题目内容、答案、题目类型进行管理，并支持科室自建题库；</w:t>
      </w:r>
    </w:p>
    <w:p w14:paraId="122BB35E">
      <w:pPr>
        <w:numPr>
          <w:ilvl w:val="0"/>
          <w:numId w:val="24"/>
        </w:numPr>
        <w:spacing w:line="360" w:lineRule="auto"/>
        <w:ind w:left="845" w:leftChars="0" w:hanging="425" w:firstLineChars="0"/>
        <w:jc w:val="left"/>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系统需支持智能考卷管理：提供手动组题或者智能组题形式，组成考卷；</w:t>
      </w:r>
    </w:p>
    <w:p w14:paraId="6C06BDA7">
      <w:pPr>
        <w:numPr>
          <w:ilvl w:val="0"/>
          <w:numId w:val="24"/>
        </w:numPr>
        <w:spacing w:line="360" w:lineRule="auto"/>
        <w:ind w:left="845" w:leftChars="0" w:hanging="425" w:firstLineChars="0"/>
        <w:jc w:val="left"/>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系统需支持题目排序管理：考卷题目和选择题选项支持乱序排列；</w:t>
      </w:r>
    </w:p>
    <w:p w14:paraId="5F938F61">
      <w:pPr>
        <w:numPr>
          <w:ilvl w:val="0"/>
          <w:numId w:val="24"/>
        </w:numPr>
        <w:spacing w:line="360" w:lineRule="auto"/>
        <w:ind w:left="845" w:leftChars="0" w:hanging="425"/>
        <w:jc w:val="left"/>
        <w:outlineLvl w:val="9"/>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系统需支持智能打分管理：可对客观题进行自动打分，并提供错题回顾分析。</w:t>
      </w:r>
    </w:p>
    <w:p w14:paraId="1E0C2CC7">
      <w:pPr>
        <w:numPr>
          <w:ilvl w:val="0"/>
          <w:numId w:val="2"/>
        </w:numPr>
        <w:spacing w:line="360" w:lineRule="auto"/>
        <w:ind w:left="-420" w:leftChars="0" w:firstLine="420" w:firstLineChars="0"/>
        <w:jc w:val="left"/>
        <w:outlineLvl w:val="1"/>
        <w:rPr>
          <w:rFonts w:hint="eastAsia" w:ascii="宋体" w:hAnsi="宋体" w:eastAsia="宋体" w:cs="宋体"/>
          <w:b/>
          <w:bCs/>
          <w:color w:val="auto"/>
          <w:sz w:val="24"/>
          <w:szCs w:val="24"/>
          <w:highlight w:val="none"/>
          <w:lang w:val="en-US" w:eastAsia="zh-CN"/>
        </w:rPr>
      </w:pPr>
      <w:bookmarkStart w:id="17" w:name="_Toc31"/>
      <w:bookmarkStart w:id="18" w:name="_Toc20904"/>
      <w:r>
        <w:rPr>
          <w:rFonts w:hint="eastAsia" w:ascii="宋体" w:hAnsi="宋体" w:eastAsia="宋体" w:cs="宋体"/>
          <w:b/>
          <w:bCs/>
          <w:color w:val="auto"/>
          <w:sz w:val="24"/>
          <w:szCs w:val="24"/>
          <w:highlight w:val="none"/>
          <w:lang w:val="en-US" w:eastAsia="zh-CN"/>
        </w:rPr>
        <w:t>智能排班</w:t>
      </w:r>
      <w:bookmarkEnd w:id="17"/>
    </w:p>
    <w:p w14:paraId="1767EDC0">
      <w:pPr>
        <w:numPr>
          <w:ilvl w:val="0"/>
          <w:numId w:val="25"/>
        </w:numPr>
        <w:spacing w:line="360" w:lineRule="auto"/>
        <w:ind w:left="845" w:leftChars="0" w:hanging="425" w:firstLineChars="0"/>
        <w:jc w:val="left"/>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需支持排班及考勤管理：支持进行个性化班种管理，包括科室班种、专业组班种、通用班种；同时支持按照专业组或者科室维度进行排班，排班结束后可按照人员、岗位维度进行排班汇总或导出；基于智能排班功能，通过小程序定位功能进行上下班的手机打卡，相关数据可支持批量导入导出；考勤数据可实现多维度统计，包括迟到、早退、旷工、请假情况统计以及部门、专业组、人员出勤率的统计等功能。</w:t>
      </w:r>
    </w:p>
    <w:p w14:paraId="221DA841">
      <w:pPr>
        <w:numPr>
          <w:ilvl w:val="0"/>
          <w:numId w:val="1"/>
        </w:numPr>
        <w:spacing w:line="360" w:lineRule="auto"/>
        <w:ind w:left="-420" w:leftChars="0" w:firstLine="420" w:firstLineChars="0"/>
        <w:jc w:val="left"/>
        <w:outlineLvl w:val="0"/>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系统要求</w:t>
      </w:r>
    </w:p>
    <w:p w14:paraId="2EFAA337">
      <w:pPr>
        <w:numPr>
          <w:ilvl w:val="0"/>
          <w:numId w:val="26"/>
        </w:numPr>
        <w:spacing w:line="360" w:lineRule="auto"/>
        <w:ind w:left="845" w:leftChars="0" w:hanging="425" w:firstLineChars="0"/>
        <w:jc w:val="left"/>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须提供系统涉及的所有操作系统、数据库、中间件等，并不再收费,涉及的操作系统、数据库、中间件投标人应保证并提供所用均为正版。</w:t>
      </w:r>
    </w:p>
    <w:p w14:paraId="25B1BF1C">
      <w:pPr>
        <w:numPr>
          <w:ilvl w:val="0"/>
          <w:numId w:val="26"/>
        </w:numPr>
        <w:spacing w:line="360" w:lineRule="auto"/>
        <w:ind w:left="845" w:leftChars="0" w:hanging="425" w:firstLineChars="0"/>
        <w:jc w:val="left"/>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须支持主流的WINXP、WIN7 (32位及64位)、WIN10 、WIN11等操作系统。</w:t>
      </w:r>
    </w:p>
    <w:p w14:paraId="625DFF51">
      <w:pPr>
        <w:numPr>
          <w:ilvl w:val="0"/>
          <w:numId w:val="26"/>
        </w:numPr>
        <w:spacing w:line="360" w:lineRule="auto"/>
        <w:ind w:left="845" w:leftChars="0" w:hanging="425" w:firstLineChars="0"/>
        <w:jc w:val="left"/>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系统若采用BS架构，则应支持chrome49.0、ie8.0、firefox、microsoft edge等主流浏览器以及所述以上的浏览器版本。</w:t>
      </w:r>
    </w:p>
    <w:p w14:paraId="64563459">
      <w:pPr>
        <w:numPr>
          <w:ilvl w:val="0"/>
          <w:numId w:val="26"/>
        </w:numPr>
        <w:spacing w:line="360" w:lineRule="auto"/>
        <w:ind w:left="845" w:leftChars="0" w:hanging="425" w:firstLineChars="0"/>
        <w:jc w:val="left"/>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系统部署在主流操作系统上，如unix、Linux、Windows等系统；采用主流的关系型数据库部署，如oracle、mysql等。</w:t>
      </w:r>
    </w:p>
    <w:p w14:paraId="0D26030D">
      <w:pPr>
        <w:numPr>
          <w:ilvl w:val="0"/>
          <w:numId w:val="26"/>
        </w:numPr>
        <w:spacing w:line="360" w:lineRule="auto"/>
        <w:ind w:left="845" w:leftChars="0" w:hanging="425" w:firstLineChars="0"/>
        <w:jc w:val="left"/>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按照医院要求，能实现与医院其他信息系统，包含但不限于HIS系统、lis等系统的互联互通、数据共享、系统集成。</w:t>
      </w:r>
    </w:p>
    <w:p w14:paraId="45BDB786">
      <w:pPr>
        <w:numPr>
          <w:ilvl w:val="0"/>
          <w:numId w:val="26"/>
        </w:numPr>
        <w:spacing w:line="360" w:lineRule="auto"/>
        <w:ind w:left="845" w:leftChars="0" w:hanging="425" w:firstLineChars="0"/>
        <w:jc w:val="left"/>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8.系统应支持Webservice、WEBAPI等多种接口对接方式，并能按院方要求及标准进行接口对接。</w:t>
      </w:r>
    </w:p>
    <w:p w14:paraId="0962DBA9">
      <w:pPr>
        <w:numPr>
          <w:ilvl w:val="0"/>
          <w:numId w:val="26"/>
        </w:numPr>
        <w:spacing w:line="360" w:lineRule="auto"/>
        <w:ind w:left="845" w:leftChars="0" w:hanging="425" w:firstLineChars="0"/>
        <w:jc w:val="left"/>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保证数据的开放性，如存在加密数据，需提供解密方法。</w:t>
      </w:r>
    </w:p>
    <w:p w14:paraId="627EBF4D">
      <w:pPr>
        <w:numPr>
          <w:ilvl w:val="0"/>
          <w:numId w:val="26"/>
        </w:numPr>
        <w:spacing w:line="360" w:lineRule="auto"/>
        <w:ind w:left="845" w:leftChars="0" w:hanging="425" w:firstLineChars="0"/>
        <w:jc w:val="left"/>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异常处理机制完善，有清晰明确的报错信息:有详细的日志记录，便于排查问题。</w:t>
      </w:r>
    </w:p>
    <w:p w14:paraId="478023F7">
      <w:pPr>
        <w:numPr>
          <w:ilvl w:val="0"/>
          <w:numId w:val="26"/>
        </w:numPr>
        <w:spacing w:line="360" w:lineRule="auto"/>
        <w:ind w:left="845" w:leftChars="0" w:hanging="425" w:firstLineChars="0"/>
        <w:jc w:val="left"/>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系统可配置性高，能通过配置文件完成各种功能、参数的设置。</w:t>
      </w:r>
    </w:p>
    <w:p w14:paraId="2C479BC6">
      <w:pPr>
        <w:numPr>
          <w:ilvl w:val="0"/>
          <w:numId w:val="26"/>
        </w:numPr>
        <w:spacing w:line="360" w:lineRule="auto"/>
        <w:ind w:left="845" w:leftChars="0" w:hanging="425" w:firstLineChars="0"/>
        <w:jc w:val="left"/>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系统运行稳定，业务处理高性能快速响应，界面友好，操作简便。</w:t>
      </w:r>
    </w:p>
    <w:p w14:paraId="3E4310AD">
      <w:pPr>
        <w:numPr>
          <w:ilvl w:val="0"/>
          <w:numId w:val="26"/>
        </w:numPr>
        <w:spacing w:line="360" w:lineRule="auto"/>
        <w:ind w:left="845" w:leftChars="0" w:hanging="425" w:firstLineChars="0"/>
        <w:jc w:val="left"/>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系统要有完备的应急预案，保证业务运行的连续性。</w:t>
      </w:r>
    </w:p>
    <w:p w14:paraId="0409033E">
      <w:pPr>
        <w:numPr>
          <w:ilvl w:val="0"/>
          <w:numId w:val="26"/>
        </w:numPr>
        <w:spacing w:line="360" w:lineRule="auto"/>
        <w:ind w:left="845" w:leftChars="0" w:hanging="425" w:firstLineChars="0"/>
        <w:jc w:val="left"/>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提供自动保护功能，当故障发生时自动保护当前所有状态,保证系统能够进行恢复。</w:t>
      </w:r>
    </w:p>
    <w:p w14:paraId="73B5E141">
      <w:pPr>
        <w:numPr>
          <w:ilvl w:val="0"/>
          <w:numId w:val="26"/>
        </w:numPr>
        <w:spacing w:line="360" w:lineRule="auto"/>
        <w:ind w:left="845" w:leftChars="0" w:hanging="425" w:firstLineChars="0"/>
        <w:jc w:val="left"/>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系统权限设定应当遵循最小授权原则。</w:t>
      </w:r>
    </w:p>
    <w:p w14:paraId="54C4E5BC">
      <w:pPr>
        <w:numPr>
          <w:ilvl w:val="0"/>
          <w:numId w:val="26"/>
        </w:numPr>
        <w:spacing w:line="360" w:lineRule="auto"/>
        <w:ind w:left="845" w:leftChars="0" w:hanging="425" w:firstLineChars="0"/>
        <w:jc w:val="left"/>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系统涉及的所有数据应具有完善的隐私保护机制，确保数据不泄露，且只能用于本单位的相关业务。</w:t>
      </w:r>
    </w:p>
    <w:p w14:paraId="794AF275">
      <w:pPr>
        <w:numPr>
          <w:ilvl w:val="0"/>
          <w:numId w:val="26"/>
        </w:numPr>
        <w:spacing w:line="360" w:lineRule="auto"/>
        <w:ind w:left="845" w:leftChars="0" w:hanging="425" w:firstLineChars="0"/>
        <w:jc w:val="left"/>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系统满足访问控制、安全审计、剩余信息保护、软件容错等信息系统安全等级保护(三级)的其他规范要求。</w:t>
      </w:r>
    </w:p>
    <w:p w14:paraId="6C5C9BBB">
      <w:pPr>
        <w:numPr>
          <w:ilvl w:val="0"/>
          <w:numId w:val="26"/>
        </w:numPr>
        <w:spacing w:line="360" w:lineRule="auto"/>
        <w:ind w:left="845" w:leftChars="0" w:hanging="425" w:firstLineChars="0"/>
        <w:jc w:val="left"/>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开放端口。系统支持多机构管理，能够与我院各院区及门诊部的信息系统实现无缝连接。</w:t>
      </w:r>
    </w:p>
    <w:p w14:paraId="77F0E79A">
      <w:pPr>
        <w:numPr>
          <w:ilvl w:val="0"/>
          <w:numId w:val="26"/>
        </w:numPr>
        <w:spacing w:line="360" w:lineRule="auto"/>
        <w:ind w:left="845" w:leftChars="0" w:hanging="425" w:firstLineChars="0"/>
        <w:jc w:val="left"/>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软件支持7*24小时运行，系统的并发性能要满足中山大学附属第一医院广西医院全体人员同时使用，系统操作不能出现明显的延迟，并且满足医院未来5年业务增长的需求。</w:t>
      </w:r>
    </w:p>
    <w:p w14:paraId="187A7C4A">
      <w:pPr>
        <w:numPr>
          <w:ilvl w:val="0"/>
          <w:numId w:val="26"/>
        </w:numPr>
        <w:spacing w:line="360" w:lineRule="auto"/>
        <w:ind w:left="845" w:hanging="425"/>
        <w:jc w:val="left"/>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承建方不能在账号个数，系统使用期限，系统使用范围等方面对系统做出任何软件硬件限制，甲方有权在其所辖的所有院区不受限制地使用该系统所有功能。</w:t>
      </w:r>
    </w:p>
    <w:bookmarkEnd w:id="18"/>
    <w:p w14:paraId="2FB2C42B">
      <w:pPr>
        <w:numPr>
          <w:ilvl w:val="0"/>
          <w:numId w:val="1"/>
        </w:numPr>
        <w:spacing w:line="360" w:lineRule="auto"/>
        <w:ind w:left="-420" w:leftChars="0" w:firstLine="420" w:firstLineChars="0"/>
        <w:jc w:val="left"/>
        <w:outlineLvl w:val="0"/>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日常运维服务</w:t>
      </w:r>
    </w:p>
    <w:p w14:paraId="208F8733">
      <w:pPr>
        <w:numPr>
          <w:ilvl w:val="0"/>
          <w:numId w:val="27"/>
        </w:numPr>
        <w:spacing w:line="360" w:lineRule="auto"/>
        <w:ind w:left="-420" w:leftChars="0" w:firstLine="420" w:firstLineChars="0"/>
        <w:jc w:val="left"/>
        <w:outlineLvl w:val="1"/>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厂家需提供7×24小时软件使用远程咨询服务，要求厂家配备专职运维团队负责日常问题的解答与处理。</w:t>
      </w:r>
    </w:p>
    <w:p w14:paraId="5EA58F37">
      <w:pPr>
        <w:numPr>
          <w:ilvl w:val="0"/>
          <w:numId w:val="27"/>
        </w:numPr>
        <w:spacing w:line="360" w:lineRule="auto"/>
        <w:ind w:left="-420" w:leftChars="0" w:firstLine="420" w:firstLineChars="0"/>
        <w:jc w:val="left"/>
        <w:outlineLvl w:val="1"/>
        <w:rPr>
          <w:rFonts w:hint="eastAsia" w:ascii="宋体" w:hAnsi="宋体" w:eastAsia="宋体" w:cs="宋体"/>
          <w:b/>
          <w:bCs/>
          <w:sz w:val="24"/>
          <w:szCs w:val="24"/>
        </w:rPr>
      </w:pPr>
      <w:bookmarkStart w:id="19" w:name="_Toc459747791"/>
      <w:bookmarkStart w:id="20" w:name="_Toc2631"/>
      <w:bookmarkStart w:id="21" w:name="_Toc27968"/>
      <w:r>
        <w:rPr>
          <w:rFonts w:hint="eastAsia" w:ascii="宋体" w:hAnsi="宋体" w:eastAsia="宋体" w:cs="宋体"/>
          <w:b/>
          <w:bCs/>
          <w:kern w:val="2"/>
          <w:sz w:val="24"/>
          <w:szCs w:val="24"/>
          <w:lang w:val="en-US" w:eastAsia="zh-CN" w:bidi="ar-SA"/>
        </w:rPr>
        <w:t>厂家需提供在线技术支持</w:t>
      </w:r>
      <w:bookmarkEnd w:id="19"/>
      <w:bookmarkEnd w:id="20"/>
      <w:bookmarkEnd w:id="21"/>
      <w:r>
        <w:rPr>
          <w:rFonts w:hint="eastAsia" w:ascii="宋体" w:hAnsi="宋体" w:eastAsia="宋体" w:cs="宋体"/>
          <w:b/>
          <w:bCs/>
          <w:kern w:val="2"/>
          <w:sz w:val="24"/>
          <w:szCs w:val="24"/>
          <w:lang w:val="en-US" w:eastAsia="zh-CN" w:bidi="ar-SA"/>
        </w:rPr>
        <w:t>服务：</w:t>
      </w:r>
      <w:bookmarkStart w:id="22" w:name="_Toc457418562"/>
      <w:r>
        <w:rPr>
          <w:rFonts w:hint="eastAsia" w:ascii="宋体" w:hAnsi="宋体" w:eastAsia="宋体" w:cs="宋体"/>
          <w:b/>
          <w:bCs/>
          <w:sz w:val="24"/>
          <w:szCs w:val="24"/>
          <w:lang w:val="en-US" w:eastAsia="zh-CN"/>
        </w:rPr>
        <w:t>提供在线实时交流、微信等通讯工具来解决问题。若用户通过微信提交问题，厂家将保证在2小时内予以答复。</w:t>
      </w:r>
      <w:bookmarkEnd w:id="22"/>
      <w:r>
        <w:rPr>
          <w:rFonts w:hint="eastAsia" w:ascii="宋体" w:hAnsi="宋体" w:eastAsia="宋体" w:cs="宋体"/>
          <w:b/>
          <w:bCs/>
          <w:sz w:val="24"/>
          <w:szCs w:val="24"/>
          <w:lang w:val="en-US" w:eastAsia="zh-CN"/>
        </w:rPr>
        <w:t>并由专业售后服务团队针对问题，通过远程运维方式（院内VPN或堡垒机等）提供远程调试服务直至问题解决。</w:t>
      </w:r>
      <w:bookmarkStart w:id="23" w:name="_Toc487705661"/>
      <w:bookmarkEnd w:id="23"/>
      <w:bookmarkStart w:id="24" w:name="_Toc441072843"/>
      <w:bookmarkEnd w:id="24"/>
      <w:bookmarkStart w:id="25" w:name="_Toc457418563"/>
      <w:bookmarkEnd w:id="25"/>
      <w:bookmarkStart w:id="26" w:name="_Toc440857966"/>
      <w:bookmarkEnd w:id="26"/>
      <w:bookmarkStart w:id="27" w:name="_Toc457932889"/>
      <w:bookmarkEnd w:id="27"/>
      <w:bookmarkStart w:id="28" w:name="_Toc459747793"/>
      <w:bookmarkEnd w:id="28"/>
    </w:p>
    <w:p w14:paraId="568C78C6">
      <w:pPr>
        <w:numPr>
          <w:ilvl w:val="0"/>
          <w:numId w:val="27"/>
        </w:numPr>
        <w:spacing w:line="360" w:lineRule="auto"/>
        <w:ind w:left="-420" w:leftChars="0" w:firstLine="420" w:firstLineChars="0"/>
        <w:jc w:val="left"/>
        <w:outlineLvl w:val="1"/>
        <w:rPr>
          <w:rFonts w:hint="eastAsia" w:ascii="宋体" w:hAnsi="宋体" w:eastAsia="宋体" w:cs="宋体"/>
          <w:b/>
          <w:bCs/>
          <w:sz w:val="24"/>
          <w:szCs w:val="24"/>
        </w:rPr>
      </w:pPr>
      <w:r>
        <w:rPr>
          <w:rFonts w:hint="eastAsia" w:ascii="宋体" w:hAnsi="宋体" w:eastAsia="宋体" w:cs="宋体"/>
          <w:b/>
          <w:bCs/>
          <w:sz w:val="24"/>
          <w:szCs w:val="24"/>
        </w:rPr>
        <w:t>应急响应服务体系</w:t>
      </w:r>
    </w:p>
    <w:p w14:paraId="3481343F">
      <w:pPr>
        <w:numPr>
          <w:ilvl w:val="0"/>
          <w:numId w:val="28"/>
        </w:numPr>
        <w:spacing w:line="360" w:lineRule="auto"/>
        <w:ind w:left="425" w:leftChars="0" w:hanging="425" w:firstLineChars="0"/>
        <w:outlineLvl w:val="9"/>
        <w:rPr>
          <w:rFonts w:hint="eastAsia" w:ascii="宋体" w:hAnsi="宋体" w:eastAsia="宋体" w:cs="宋体"/>
          <w:sz w:val="21"/>
          <w:szCs w:val="21"/>
        </w:rPr>
      </w:pPr>
      <w:r>
        <w:rPr>
          <w:rFonts w:hint="eastAsia" w:ascii="宋体" w:hAnsi="宋体" w:eastAsia="宋体" w:cs="宋体"/>
          <w:sz w:val="21"/>
          <w:szCs w:val="21"/>
          <w:lang w:val="en-US" w:eastAsia="zh-CN"/>
        </w:rPr>
        <w:t>当科室</w:t>
      </w:r>
      <w:r>
        <w:rPr>
          <w:rFonts w:hint="eastAsia" w:ascii="宋体" w:hAnsi="宋体" w:eastAsia="宋体" w:cs="宋体"/>
          <w:sz w:val="21"/>
          <w:szCs w:val="21"/>
        </w:rPr>
        <w:t>系统严重故障、部分重要服务不正常</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要求厂家24小时内提供上面维修服务；</w:t>
      </w:r>
    </w:p>
    <w:p w14:paraId="5A03FCD3">
      <w:pPr>
        <w:numPr>
          <w:ilvl w:val="0"/>
          <w:numId w:val="28"/>
        </w:numPr>
        <w:spacing w:line="360" w:lineRule="auto"/>
        <w:ind w:left="425" w:leftChars="0" w:hanging="425" w:firstLineChars="0"/>
        <w:outlineLvl w:val="9"/>
        <w:rPr>
          <w:rFonts w:hint="default" w:ascii="宋体" w:hAnsi="宋体" w:eastAsia="宋体" w:cs="宋体"/>
          <w:b/>
          <w:bCs/>
          <w:i w:val="0"/>
          <w:iCs w:val="0"/>
          <w:color w:val="auto"/>
          <w:kern w:val="0"/>
          <w:sz w:val="28"/>
          <w:szCs w:val="28"/>
          <w:highlight w:val="none"/>
          <w:u w:val="none"/>
          <w:lang w:val="en-US" w:eastAsia="zh-CN" w:bidi="ar"/>
        </w:rPr>
      </w:pPr>
      <w:r>
        <w:rPr>
          <w:rFonts w:hint="eastAsia" w:ascii="宋体" w:hAnsi="宋体" w:eastAsia="宋体" w:cs="宋体"/>
          <w:sz w:val="21"/>
          <w:szCs w:val="21"/>
        </w:rPr>
        <w:t>系统个别服务不正常</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如厂家在线上无法处理，要求厂家48小时内到达现场进行处理。</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16E8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46E7FA">
                          <w:pPr>
                            <w:pStyle w:val="4"/>
                            <w:rPr>
                              <w:rFonts w:hint="eastAsia" w:eastAsiaTheme="minorEastAsia"/>
                              <w:lang w:val="en-US" w:eastAsia="zh-CN"/>
                            </w:rPr>
                          </w:pPr>
                          <w:r>
                            <w:fldChar w:fldCharType="begin"/>
                          </w:r>
                          <w:r>
                            <w:instrText xml:space="preserve"> PAGE  \* MERGEFORMAT </w:instrText>
                          </w:r>
                          <w:r>
                            <w:fldChar w:fldCharType="separate"/>
                          </w:r>
                          <w:r>
                            <w:t>1</w:t>
                          </w:r>
                          <w:r>
                            <w:fldChar w:fldCharType="end"/>
                          </w:r>
                          <w:r>
                            <w:t xml:space="preserve"> /</w:t>
                          </w:r>
                          <w:r>
                            <w:rPr>
                              <w:rFonts w:hint="eastAsia"/>
                              <w:lang w:val="en-US" w:eastAsia="zh-CN"/>
                            </w:rPr>
                            <w:t>6</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B46E7FA">
                    <w:pPr>
                      <w:pStyle w:val="4"/>
                      <w:rPr>
                        <w:rFonts w:hint="eastAsia" w:eastAsiaTheme="minorEastAsia"/>
                        <w:lang w:val="en-US" w:eastAsia="zh-CN"/>
                      </w:rPr>
                    </w:pPr>
                    <w:r>
                      <w:fldChar w:fldCharType="begin"/>
                    </w:r>
                    <w:r>
                      <w:instrText xml:space="preserve"> PAGE  \* MERGEFORMAT </w:instrText>
                    </w:r>
                    <w:r>
                      <w:fldChar w:fldCharType="separate"/>
                    </w:r>
                    <w:r>
                      <w:t>1</w:t>
                    </w:r>
                    <w:r>
                      <w:fldChar w:fldCharType="end"/>
                    </w:r>
                    <w:r>
                      <w:t xml:space="preserve"> /</w:t>
                    </w:r>
                    <w:r>
                      <w:rPr>
                        <w:rFonts w:hint="eastAsia"/>
                        <w:lang w:val="en-US" w:eastAsia="zh-CN"/>
                      </w:rPr>
                      <w:t>6</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192025"/>
    <w:multiLevelType w:val="singleLevel"/>
    <w:tmpl w:val="83192025"/>
    <w:lvl w:ilvl="0" w:tentative="0">
      <w:start w:val="1"/>
      <w:numFmt w:val="chineseCounting"/>
      <w:suff w:val="nothing"/>
      <w:lvlText w:val="（%1）"/>
      <w:lvlJc w:val="left"/>
      <w:pPr>
        <w:ind w:left="-420" w:firstLine="420"/>
      </w:pPr>
      <w:rPr>
        <w:rFonts w:hint="eastAsia"/>
        <w:sz w:val="24"/>
        <w:szCs w:val="24"/>
      </w:rPr>
    </w:lvl>
  </w:abstractNum>
  <w:abstractNum w:abstractNumId="1">
    <w:nsid w:val="8DF4D264"/>
    <w:multiLevelType w:val="singleLevel"/>
    <w:tmpl w:val="8DF4D264"/>
    <w:lvl w:ilvl="0" w:tentative="0">
      <w:start w:val="1"/>
      <w:numFmt w:val="decimal"/>
      <w:lvlText w:val="%1."/>
      <w:lvlJc w:val="left"/>
      <w:pPr>
        <w:ind w:left="845" w:hanging="425"/>
      </w:pPr>
      <w:rPr>
        <w:rFonts w:hint="default" w:ascii="宋体" w:hAnsi="宋体" w:eastAsia="宋体" w:cs="宋体"/>
      </w:rPr>
    </w:lvl>
  </w:abstractNum>
  <w:abstractNum w:abstractNumId="2">
    <w:nsid w:val="93468DE4"/>
    <w:multiLevelType w:val="singleLevel"/>
    <w:tmpl w:val="93468DE4"/>
    <w:lvl w:ilvl="0" w:tentative="0">
      <w:start w:val="1"/>
      <w:numFmt w:val="decimal"/>
      <w:lvlText w:val="(%1)"/>
      <w:lvlJc w:val="left"/>
      <w:pPr>
        <w:ind w:left="1265" w:hanging="425"/>
      </w:pPr>
      <w:rPr>
        <w:rFonts w:hint="default" w:ascii="宋体" w:hAnsi="宋体" w:eastAsia="宋体" w:cs="宋体"/>
        <w:b w:val="0"/>
        <w:bCs w:val="0"/>
        <w:sz w:val="21"/>
        <w:szCs w:val="21"/>
      </w:rPr>
    </w:lvl>
  </w:abstractNum>
  <w:abstractNum w:abstractNumId="3">
    <w:nsid w:val="A7E1722B"/>
    <w:multiLevelType w:val="singleLevel"/>
    <w:tmpl w:val="A7E1722B"/>
    <w:lvl w:ilvl="0" w:tentative="0">
      <w:start w:val="1"/>
      <w:numFmt w:val="decimal"/>
      <w:lvlText w:val="%1."/>
      <w:lvlJc w:val="left"/>
      <w:pPr>
        <w:ind w:left="845" w:hanging="425"/>
      </w:pPr>
      <w:rPr>
        <w:rFonts w:hint="default" w:ascii="宋体" w:hAnsi="宋体" w:eastAsia="宋体" w:cs="宋体"/>
        <w:b w:val="0"/>
        <w:bCs w:val="0"/>
      </w:rPr>
    </w:lvl>
  </w:abstractNum>
  <w:abstractNum w:abstractNumId="4">
    <w:nsid w:val="B2F26386"/>
    <w:multiLevelType w:val="singleLevel"/>
    <w:tmpl w:val="B2F26386"/>
    <w:lvl w:ilvl="0" w:tentative="0">
      <w:start w:val="1"/>
      <w:numFmt w:val="chineseCounting"/>
      <w:suff w:val="nothing"/>
      <w:lvlText w:val="（%1）"/>
      <w:lvlJc w:val="left"/>
      <w:pPr>
        <w:ind w:left="-420" w:firstLine="420"/>
      </w:pPr>
      <w:rPr>
        <w:rFonts w:hint="eastAsia"/>
        <w:sz w:val="24"/>
        <w:szCs w:val="24"/>
      </w:rPr>
    </w:lvl>
  </w:abstractNum>
  <w:abstractNum w:abstractNumId="5">
    <w:nsid w:val="B45B36A7"/>
    <w:multiLevelType w:val="singleLevel"/>
    <w:tmpl w:val="B45B36A7"/>
    <w:lvl w:ilvl="0" w:tentative="0">
      <w:start w:val="1"/>
      <w:numFmt w:val="decimal"/>
      <w:lvlText w:val="(%1)"/>
      <w:lvlJc w:val="left"/>
      <w:pPr>
        <w:ind w:left="1265" w:hanging="425"/>
      </w:pPr>
      <w:rPr>
        <w:rFonts w:hint="default" w:ascii="宋体" w:hAnsi="宋体" w:eastAsia="宋体" w:cs="宋体"/>
        <w:b w:val="0"/>
        <w:bCs w:val="0"/>
        <w:sz w:val="21"/>
        <w:szCs w:val="21"/>
      </w:rPr>
    </w:lvl>
  </w:abstractNum>
  <w:abstractNum w:abstractNumId="6">
    <w:nsid w:val="B5227647"/>
    <w:multiLevelType w:val="singleLevel"/>
    <w:tmpl w:val="B5227647"/>
    <w:lvl w:ilvl="0" w:tentative="0">
      <w:start w:val="1"/>
      <w:numFmt w:val="decimal"/>
      <w:lvlText w:val="(%1)"/>
      <w:lvlJc w:val="left"/>
      <w:pPr>
        <w:ind w:left="1265" w:hanging="425"/>
      </w:pPr>
      <w:rPr>
        <w:rFonts w:hint="default" w:ascii="宋体" w:hAnsi="宋体" w:eastAsia="宋体" w:cs="宋体"/>
      </w:rPr>
    </w:lvl>
  </w:abstractNum>
  <w:abstractNum w:abstractNumId="7">
    <w:nsid w:val="BF9D6F57"/>
    <w:multiLevelType w:val="singleLevel"/>
    <w:tmpl w:val="BF9D6F57"/>
    <w:lvl w:ilvl="0" w:tentative="0">
      <w:start w:val="1"/>
      <w:numFmt w:val="decimal"/>
      <w:lvlText w:val="(%1)"/>
      <w:lvlJc w:val="left"/>
      <w:pPr>
        <w:ind w:left="1265" w:hanging="425"/>
      </w:pPr>
      <w:rPr>
        <w:rFonts w:hint="default" w:ascii="宋体" w:hAnsi="宋体" w:eastAsia="宋体" w:cs="宋体"/>
      </w:rPr>
    </w:lvl>
  </w:abstractNum>
  <w:abstractNum w:abstractNumId="8">
    <w:nsid w:val="D0EA602F"/>
    <w:multiLevelType w:val="singleLevel"/>
    <w:tmpl w:val="D0EA602F"/>
    <w:lvl w:ilvl="0" w:tentative="0">
      <w:start w:val="1"/>
      <w:numFmt w:val="decimal"/>
      <w:lvlText w:val="(%1)"/>
      <w:lvlJc w:val="left"/>
      <w:pPr>
        <w:ind w:left="1265" w:hanging="425"/>
      </w:pPr>
      <w:rPr>
        <w:rFonts w:hint="default" w:ascii="宋体" w:hAnsi="宋体" w:eastAsia="宋体" w:cs="宋体"/>
      </w:rPr>
    </w:lvl>
  </w:abstractNum>
  <w:abstractNum w:abstractNumId="9">
    <w:nsid w:val="D563A030"/>
    <w:multiLevelType w:val="singleLevel"/>
    <w:tmpl w:val="D563A030"/>
    <w:lvl w:ilvl="0" w:tentative="0">
      <w:start w:val="1"/>
      <w:numFmt w:val="decimal"/>
      <w:lvlText w:val="(%1)"/>
      <w:lvlJc w:val="left"/>
      <w:pPr>
        <w:ind w:left="1265" w:hanging="425"/>
      </w:pPr>
      <w:rPr>
        <w:rFonts w:hint="default" w:ascii="宋体" w:hAnsi="宋体" w:eastAsia="宋体" w:cs="宋体"/>
        <w:b w:val="0"/>
        <w:bCs w:val="0"/>
      </w:rPr>
    </w:lvl>
  </w:abstractNum>
  <w:abstractNum w:abstractNumId="10">
    <w:nsid w:val="DE005790"/>
    <w:multiLevelType w:val="singleLevel"/>
    <w:tmpl w:val="DE005790"/>
    <w:lvl w:ilvl="0" w:tentative="0">
      <w:start w:val="1"/>
      <w:numFmt w:val="chineseCounting"/>
      <w:suff w:val="nothing"/>
      <w:lvlText w:val="%1、"/>
      <w:lvlJc w:val="left"/>
      <w:pPr>
        <w:ind w:left="-420" w:firstLine="420"/>
      </w:pPr>
      <w:rPr>
        <w:rFonts w:hint="eastAsia" w:ascii="宋体" w:hAnsi="宋体" w:eastAsia="宋体" w:cs="宋体"/>
        <w:sz w:val="24"/>
        <w:szCs w:val="24"/>
      </w:rPr>
    </w:lvl>
  </w:abstractNum>
  <w:abstractNum w:abstractNumId="11">
    <w:nsid w:val="E2B7E813"/>
    <w:multiLevelType w:val="singleLevel"/>
    <w:tmpl w:val="E2B7E813"/>
    <w:lvl w:ilvl="0" w:tentative="0">
      <w:start w:val="1"/>
      <w:numFmt w:val="decimal"/>
      <w:lvlText w:val="(%1)"/>
      <w:lvlJc w:val="left"/>
      <w:pPr>
        <w:ind w:left="1265" w:hanging="425"/>
      </w:pPr>
      <w:rPr>
        <w:rFonts w:hint="default" w:ascii="宋体" w:hAnsi="宋体" w:eastAsia="宋体" w:cs="宋体"/>
      </w:rPr>
    </w:lvl>
  </w:abstractNum>
  <w:abstractNum w:abstractNumId="12">
    <w:nsid w:val="E3D50463"/>
    <w:multiLevelType w:val="singleLevel"/>
    <w:tmpl w:val="E3D50463"/>
    <w:lvl w:ilvl="0" w:tentative="0">
      <w:start w:val="1"/>
      <w:numFmt w:val="decimal"/>
      <w:lvlText w:val="(%1)"/>
      <w:lvlJc w:val="left"/>
      <w:pPr>
        <w:ind w:left="1265" w:hanging="425"/>
      </w:pPr>
      <w:rPr>
        <w:rFonts w:hint="default" w:ascii="宋体" w:hAnsi="宋体" w:eastAsia="宋体" w:cs="宋体"/>
      </w:rPr>
    </w:lvl>
  </w:abstractNum>
  <w:abstractNum w:abstractNumId="13">
    <w:nsid w:val="F9164F81"/>
    <w:multiLevelType w:val="singleLevel"/>
    <w:tmpl w:val="F9164F81"/>
    <w:lvl w:ilvl="0" w:tentative="0">
      <w:start w:val="1"/>
      <w:numFmt w:val="decimal"/>
      <w:lvlText w:val="(%1)"/>
      <w:lvlJc w:val="left"/>
      <w:pPr>
        <w:ind w:left="1265" w:hanging="425"/>
      </w:pPr>
      <w:rPr>
        <w:rFonts w:hint="default" w:ascii="宋体" w:hAnsi="宋体" w:eastAsia="宋体" w:cs="宋体"/>
      </w:rPr>
    </w:lvl>
  </w:abstractNum>
  <w:abstractNum w:abstractNumId="14">
    <w:nsid w:val="FB1FA836"/>
    <w:multiLevelType w:val="singleLevel"/>
    <w:tmpl w:val="FB1FA836"/>
    <w:lvl w:ilvl="0" w:tentative="0">
      <w:start w:val="1"/>
      <w:numFmt w:val="decimal"/>
      <w:lvlText w:val="%1."/>
      <w:lvlJc w:val="left"/>
      <w:pPr>
        <w:ind w:left="845" w:hanging="425"/>
      </w:pPr>
      <w:rPr>
        <w:rFonts w:hint="default" w:ascii="宋体" w:hAnsi="宋体" w:eastAsia="宋体" w:cs="宋体"/>
        <w:b w:val="0"/>
        <w:bCs w:val="0"/>
      </w:rPr>
    </w:lvl>
  </w:abstractNum>
  <w:abstractNum w:abstractNumId="15">
    <w:nsid w:val="0A3F2551"/>
    <w:multiLevelType w:val="singleLevel"/>
    <w:tmpl w:val="0A3F2551"/>
    <w:lvl w:ilvl="0" w:tentative="0">
      <w:start w:val="1"/>
      <w:numFmt w:val="decimal"/>
      <w:lvlText w:val="%1."/>
      <w:lvlJc w:val="left"/>
      <w:pPr>
        <w:ind w:left="845" w:hanging="425"/>
      </w:pPr>
      <w:rPr>
        <w:rFonts w:hint="default" w:ascii="宋体" w:hAnsi="宋体" w:eastAsia="宋体" w:cs="宋体"/>
        <w:b w:val="0"/>
        <w:bCs w:val="0"/>
      </w:rPr>
    </w:lvl>
  </w:abstractNum>
  <w:abstractNum w:abstractNumId="16">
    <w:nsid w:val="0AFECE6D"/>
    <w:multiLevelType w:val="singleLevel"/>
    <w:tmpl w:val="0AFECE6D"/>
    <w:lvl w:ilvl="0" w:tentative="0">
      <w:start w:val="1"/>
      <w:numFmt w:val="decimal"/>
      <w:lvlText w:val="%1."/>
      <w:lvlJc w:val="left"/>
      <w:pPr>
        <w:ind w:left="845" w:hanging="425"/>
      </w:pPr>
      <w:rPr>
        <w:rFonts w:hint="default" w:ascii="宋体" w:hAnsi="宋体" w:eastAsia="宋体" w:cs="宋体"/>
        <w:b w:val="0"/>
        <w:bCs w:val="0"/>
      </w:rPr>
    </w:lvl>
  </w:abstractNum>
  <w:abstractNum w:abstractNumId="17">
    <w:nsid w:val="0CCBCF83"/>
    <w:multiLevelType w:val="singleLevel"/>
    <w:tmpl w:val="0CCBCF83"/>
    <w:lvl w:ilvl="0" w:tentative="0">
      <w:start w:val="1"/>
      <w:numFmt w:val="decimal"/>
      <w:lvlText w:val="(%1)"/>
      <w:lvlJc w:val="left"/>
      <w:pPr>
        <w:ind w:left="1265" w:hanging="425"/>
      </w:pPr>
      <w:rPr>
        <w:rFonts w:hint="default" w:ascii="宋体" w:hAnsi="宋体" w:eastAsia="宋体" w:cs="宋体"/>
        <w:sz w:val="21"/>
        <w:szCs w:val="21"/>
      </w:rPr>
    </w:lvl>
  </w:abstractNum>
  <w:abstractNum w:abstractNumId="18">
    <w:nsid w:val="16E12E68"/>
    <w:multiLevelType w:val="singleLevel"/>
    <w:tmpl w:val="16E12E68"/>
    <w:lvl w:ilvl="0" w:tentative="0">
      <w:start w:val="1"/>
      <w:numFmt w:val="decimal"/>
      <w:lvlText w:val="(%1)"/>
      <w:lvlJc w:val="left"/>
      <w:pPr>
        <w:ind w:left="1265" w:hanging="425"/>
      </w:pPr>
      <w:rPr>
        <w:rFonts w:hint="default" w:ascii="宋体" w:hAnsi="宋体" w:eastAsia="宋体" w:cs="宋体"/>
      </w:rPr>
    </w:lvl>
  </w:abstractNum>
  <w:abstractNum w:abstractNumId="19">
    <w:nsid w:val="2477EC54"/>
    <w:multiLevelType w:val="singleLevel"/>
    <w:tmpl w:val="2477EC54"/>
    <w:lvl w:ilvl="0" w:tentative="0">
      <w:start w:val="1"/>
      <w:numFmt w:val="decimal"/>
      <w:lvlText w:val="%1."/>
      <w:lvlJc w:val="left"/>
      <w:pPr>
        <w:ind w:left="845" w:hanging="425"/>
      </w:pPr>
      <w:rPr>
        <w:rFonts w:hint="default" w:ascii="宋体" w:hAnsi="宋体" w:eastAsia="宋体" w:cs="宋体"/>
        <w:sz w:val="21"/>
        <w:szCs w:val="21"/>
      </w:rPr>
    </w:lvl>
  </w:abstractNum>
  <w:abstractNum w:abstractNumId="20">
    <w:nsid w:val="3B094F75"/>
    <w:multiLevelType w:val="singleLevel"/>
    <w:tmpl w:val="3B094F75"/>
    <w:lvl w:ilvl="0" w:tentative="0">
      <w:start w:val="1"/>
      <w:numFmt w:val="decimal"/>
      <w:lvlText w:val="%1."/>
      <w:lvlJc w:val="left"/>
      <w:pPr>
        <w:ind w:left="845" w:hanging="425"/>
      </w:pPr>
      <w:rPr>
        <w:rFonts w:hint="default" w:ascii="宋体" w:hAnsi="宋体" w:eastAsia="宋体" w:cs="宋体"/>
        <w:b w:val="0"/>
        <w:bCs w:val="0"/>
      </w:rPr>
    </w:lvl>
  </w:abstractNum>
  <w:abstractNum w:abstractNumId="21">
    <w:nsid w:val="3B92A536"/>
    <w:multiLevelType w:val="singleLevel"/>
    <w:tmpl w:val="3B92A536"/>
    <w:lvl w:ilvl="0" w:tentative="0">
      <w:start w:val="1"/>
      <w:numFmt w:val="decimal"/>
      <w:lvlText w:val="(%1)"/>
      <w:lvlJc w:val="left"/>
      <w:pPr>
        <w:ind w:left="1265" w:hanging="425"/>
      </w:pPr>
      <w:rPr>
        <w:rFonts w:hint="default" w:ascii="宋体" w:hAnsi="宋体" w:eastAsia="宋体" w:cs="宋体"/>
      </w:rPr>
    </w:lvl>
  </w:abstractNum>
  <w:abstractNum w:abstractNumId="22">
    <w:nsid w:val="3C230631"/>
    <w:multiLevelType w:val="singleLevel"/>
    <w:tmpl w:val="3C230631"/>
    <w:lvl w:ilvl="0" w:tentative="0">
      <w:start w:val="1"/>
      <w:numFmt w:val="decimal"/>
      <w:lvlText w:val="%1."/>
      <w:lvlJc w:val="left"/>
      <w:pPr>
        <w:ind w:left="845" w:hanging="425"/>
      </w:pPr>
      <w:rPr>
        <w:rFonts w:hint="default" w:ascii="宋体" w:hAnsi="宋体" w:eastAsia="宋体" w:cs="宋体"/>
        <w:sz w:val="21"/>
        <w:szCs w:val="21"/>
      </w:rPr>
    </w:lvl>
  </w:abstractNum>
  <w:abstractNum w:abstractNumId="23">
    <w:nsid w:val="4E2B33E8"/>
    <w:multiLevelType w:val="singleLevel"/>
    <w:tmpl w:val="4E2B33E8"/>
    <w:lvl w:ilvl="0" w:tentative="0">
      <w:start w:val="1"/>
      <w:numFmt w:val="decimal"/>
      <w:lvlText w:val="%1."/>
      <w:lvlJc w:val="left"/>
      <w:pPr>
        <w:ind w:left="845" w:hanging="425"/>
      </w:pPr>
      <w:rPr>
        <w:rFonts w:hint="default" w:ascii="宋体" w:hAnsi="宋体" w:eastAsia="宋体" w:cs="宋体"/>
        <w:b w:val="0"/>
        <w:bCs w:val="0"/>
      </w:rPr>
    </w:lvl>
  </w:abstractNum>
  <w:abstractNum w:abstractNumId="24">
    <w:nsid w:val="53C6D737"/>
    <w:multiLevelType w:val="singleLevel"/>
    <w:tmpl w:val="53C6D737"/>
    <w:lvl w:ilvl="0" w:tentative="0">
      <w:start w:val="1"/>
      <w:numFmt w:val="decimal"/>
      <w:lvlText w:val="%1."/>
      <w:lvlJc w:val="left"/>
      <w:pPr>
        <w:ind w:left="845" w:hanging="425"/>
      </w:pPr>
      <w:rPr>
        <w:rFonts w:hint="default" w:ascii="宋体" w:hAnsi="宋体" w:eastAsia="宋体" w:cs="宋体"/>
        <w:b w:val="0"/>
        <w:bCs w:val="0"/>
      </w:rPr>
    </w:lvl>
  </w:abstractNum>
  <w:abstractNum w:abstractNumId="25">
    <w:nsid w:val="6C80B328"/>
    <w:multiLevelType w:val="singleLevel"/>
    <w:tmpl w:val="6C80B328"/>
    <w:lvl w:ilvl="0" w:tentative="0">
      <w:start w:val="1"/>
      <w:numFmt w:val="decimal"/>
      <w:lvlText w:val="%1."/>
      <w:lvlJc w:val="left"/>
      <w:pPr>
        <w:ind w:left="425" w:hanging="425"/>
      </w:pPr>
      <w:rPr>
        <w:rFonts w:hint="default" w:ascii="宋体" w:hAnsi="宋体" w:eastAsia="宋体" w:cs="宋体"/>
        <w:b w:val="0"/>
        <w:bCs w:val="0"/>
        <w:sz w:val="21"/>
        <w:szCs w:val="21"/>
      </w:rPr>
    </w:lvl>
  </w:abstractNum>
  <w:abstractNum w:abstractNumId="26">
    <w:nsid w:val="6DD06A4D"/>
    <w:multiLevelType w:val="singleLevel"/>
    <w:tmpl w:val="6DD06A4D"/>
    <w:lvl w:ilvl="0" w:tentative="0">
      <w:start w:val="1"/>
      <w:numFmt w:val="decimal"/>
      <w:lvlText w:val="%1."/>
      <w:lvlJc w:val="left"/>
      <w:pPr>
        <w:ind w:left="845" w:hanging="425"/>
      </w:pPr>
      <w:rPr>
        <w:rFonts w:hint="default" w:ascii="宋体" w:hAnsi="宋体" w:eastAsia="宋体" w:cs="宋体"/>
        <w:b w:val="0"/>
        <w:bCs w:val="0"/>
        <w:sz w:val="21"/>
        <w:szCs w:val="21"/>
      </w:rPr>
    </w:lvl>
  </w:abstractNum>
  <w:abstractNum w:abstractNumId="27">
    <w:nsid w:val="7A766253"/>
    <w:multiLevelType w:val="singleLevel"/>
    <w:tmpl w:val="7A766253"/>
    <w:lvl w:ilvl="0" w:tentative="0">
      <w:start w:val="1"/>
      <w:numFmt w:val="decimal"/>
      <w:lvlText w:val="%1."/>
      <w:lvlJc w:val="left"/>
      <w:pPr>
        <w:ind w:left="1055" w:hanging="425"/>
      </w:pPr>
      <w:rPr>
        <w:rFonts w:hint="default" w:ascii="宋体" w:hAnsi="宋体" w:eastAsia="宋体" w:cs="宋体"/>
        <w:b w:val="0"/>
        <w:bCs w:val="0"/>
      </w:rPr>
    </w:lvl>
  </w:abstractNum>
  <w:num w:numId="1">
    <w:abstractNumId w:val="10"/>
  </w:num>
  <w:num w:numId="2">
    <w:abstractNumId w:val="0"/>
  </w:num>
  <w:num w:numId="3">
    <w:abstractNumId w:val="19"/>
  </w:num>
  <w:num w:numId="4">
    <w:abstractNumId w:val="18"/>
  </w:num>
  <w:num w:numId="5">
    <w:abstractNumId w:val="11"/>
  </w:num>
  <w:num w:numId="6">
    <w:abstractNumId w:val="2"/>
  </w:num>
  <w:num w:numId="7">
    <w:abstractNumId w:val="27"/>
  </w:num>
  <w:num w:numId="8">
    <w:abstractNumId w:val="12"/>
  </w:num>
  <w:num w:numId="9">
    <w:abstractNumId w:val="21"/>
  </w:num>
  <w:num w:numId="10">
    <w:abstractNumId w:val="16"/>
  </w:num>
  <w:num w:numId="11">
    <w:abstractNumId w:val="20"/>
  </w:num>
  <w:num w:numId="12">
    <w:abstractNumId w:val="8"/>
  </w:num>
  <w:num w:numId="13">
    <w:abstractNumId w:val="1"/>
  </w:num>
  <w:num w:numId="14">
    <w:abstractNumId w:val="6"/>
  </w:num>
  <w:num w:numId="15">
    <w:abstractNumId w:val="22"/>
  </w:num>
  <w:num w:numId="16">
    <w:abstractNumId w:val="17"/>
  </w:num>
  <w:num w:numId="17">
    <w:abstractNumId w:val="13"/>
  </w:num>
  <w:num w:numId="18">
    <w:abstractNumId w:val="26"/>
  </w:num>
  <w:num w:numId="19">
    <w:abstractNumId w:val="3"/>
  </w:num>
  <w:num w:numId="20">
    <w:abstractNumId w:val="5"/>
  </w:num>
  <w:num w:numId="21">
    <w:abstractNumId w:val="15"/>
  </w:num>
  <w:num w:numId="22">
    <w:abstractNumId w:val="9"/>
  </w:num>
  <w:num w:numId="23">
    <w:abstractNumId w:val="7"/>
  </w:num>
  <w:num w:numId="24">
    <w:abstractNumId w:val="23"/>
  </w:num>
  <w:num w:numId="25">
    <w:abstractNumId w:val="24"/>
  </w:num>
  <w:num w:numId="26">
    <w:abstractNumId w:val="14"/>
  </w:num>
  <w:num w:numId="27">
    <w:abstractNumId w:val="4"/>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2MjU2MzMxMTIyNzIyYTQyZjg1OTZhMmRkYzhlY2QifQ=="/>
  </w:docVars>
  <w:rsids>
    <w:rsidRoot w:val="1F2264DA"/>
    <w:rsid w:val="04FC6AE0"/>
    <w:rsid w:val="064249C6"/>
    <w:rsid w:val="0A542C4E"/>
    <w:rsid w:val="19A53512"/>
    <w:rsid w:val="1D5C4168"/>
    <w:rsid w:val="1EA2204E"/>
    <w:rsid w:val="1F2264DA"/>
    <w:rsid w:val="202D1DEC"/>
    <w:rsid w:val="25AC075F"/>
    <w:rsid w:val="2F994294"/>
    <w:rsid w:val="38CB30C3"/>
    <w:rsid w:val="3CF97D3E"/>
    <w:rsid w:val="3EAB0654"/>
    <w:rsid w:val="3EE873AE"/>
    <w:rsid w:val="44A818BD"/>
    <w:rsid w:val="4581379F"/>
    <w:rsid w:val="4AAC19DB"/>
    <w:rsid w:val="50ED10CD"/>
    <w:rsid w:val="56D921DE"/>
    <w:rsid w:val="5B0E0AFA"/>
    <w:rsid w:val="5FC03B07"/>
    <w:rsid w:val="68D25C9F"/>
    <w:rsid w:val="73C72801"/>
    <w:rsid w:val="74E41BEE"/>
    <w:rsid w:val="7758320C"/>
    <w:rsid w:val="7F6D5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unhideWhenUsed/>
    <w:qFormat/>
    <w:uiPriority w:val="0"/>
    <w:pPr>
      <w:spacing w:after="120"/>
      <w:ind w:left="1140" w:firstLine="420"/>
    </w:pPr>
    <w:rPr>
      <w:rFonts w:ascii="Calibri" w:hAnsi="Calibri" w:eastAsia="宋体" w:cs="Times New Roman"/>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character" w:customStyle="1" w:styleId="10">
    <w:name w:val="font81"/>
    <w:basedOn w:val="9"/>
    <w:qFormat/>
    <w:uiPriority w:val="0"/>
    <w:rPr>
      <w:rFonts w:ascii="Tahoma" w:hAnsi="Tahoma" w:eastAsia="Tahoma" w:cs="Tahoma"/>
      <w:color w:val="000000"/>
      <w:sz w:val="21"/>
      <w:szCs w:val="21"/>
      <w:u w:val="none"/>
    </w:rPr>
  </w:style>
  <w:style w:type="character" w:customStyle="1" w:styleId="11">
    <w:name w:val="font71"/>
    <w:basedOn w:val="9"/>
    <w:qFormat/>
    <w:uiPriority w:val="0"/>
    <w:rPr>
      <w:rFonts w:hint="eastAsia" w:ascii="宋体" w:hAnsi="宋体" w:eastAsia="宋体" w:cs="宋体"/>
      <w:color w:val="000000"/>
      <w:sz w:val="21"/>
      <w:szCs w:val="21"/>
      <w:u w:val="none"/>
    </w:rPr>
  </w:style>
  <w:style w:type="paragraph" w:customStyle="1" w:styleId="12">
    <w:name w:val="WPSOffice手动目录 1"/>
    <w:qFormat/>
    <w:uiPriority w:val="0"/>
    <w:pPr>
      <w:ind w:leftChars="0"/>
    </w:pPr>
    <w:rPr>
      <w:rFonts w:ascii="Times New Roman" w:hAnsi="Times New Roman" w:eastAsia="宋体" w:cs="Times New Roman"/>
      <w:sz w:val="20"/>
      <w:szCs w:val="20"/>
    </w:rPr>
  </w:style>
  <w:style w:type="paragraph" w:customStyle="1" w:styleId="13">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4085</Words>
  <Characters>4321</Characters>
  <Lines>0</Lines>
  <Paragraphs>0</Paragraphs>
  <TotalTime>0</TotalTime>
  <ScaleCrop>false</ScaleCrop>
  <LinksUpToDate>false</LinksUpToDate>
  <CharactersWithSpaces>4334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2024-06-24T03:00:00Z</dcterms:created>
  <dc:creator>Mr. 郭 </dc:creator>
  <cp:lastModifiedBy>秋秋</cp:lastModifiedBy>
  <dcterms:modified xsi:type="dcterms:W3CDTF">2024-10-21T07:46:17Z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0FED5A5CD05B4D3487B21356347CEFB5_11</vt:lpwstr>
  </property>
</Properties>
</file>