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72EBA">
      <w:pPr>
        <w:pStyle w:val="4"/>
        <w:numPr>
          <w:ilvl w:val="0"/>
          <w:numId w:val="0"/>
        </w:numPr>
        <w:ind w:left="432" w:hanging="432"/>
        <w:rPr>
          <w:rFonts w:hint="default"/>
          <w:lang w:val="en-US"/>
        </w:rPr>
      </w:pPr>
      <w:r>
        <w:rPr>
          <w:rFonts w:hint="eastAsia"/>
          <w:sz w:val="40"/>
          <w:szCs w:val="32"/>
          <w:lang w:val="en-US" w:eastAsia="zh-CN"/>
        </w:rPr>
        <w:t>中山大学附属第一</w:t>
      </w:r>
      <w:r>
        <w:rPr>
          <w:rFonts w:hint="eastAsia" w:ascii="Arial" w:hAnsi="Arial"/>
          <w:sz w:val="40"/>
          <w:szCs w:val="32"/>
          <w:lang w:val="en-US" w:eastAsia="zh-CN"/>
        </w:rPr>
        <w:t>医院广西医院存储设备维保</w:t>
      </w:r>
      <w:r>
        <w:rPr>
          <w:rFonts w:hint="eastAsia"/>
          <w:sz w:val="40"/>
          <w:szCs w:val="32"/>
          <w:lang w:val="en-US" w:eastAsia="zh-CN"/>
        </w:rPr>
        <w:t>服务需求及评分标准</w:t>
      </w:r>
    </w:p>
    <w:p w14:paraId="0B69D233">
      <w:pPr>
        <w:numPr>
          <w:ilvl w:val="0"/>
          <w:numId w:val="2"/>
        </w:numPr>
        <w:spacing w:line="360" w:lineRule="auto"/>
        <w:ind w:left="0" w:leftChars="0" w:firstLine="420" w:firstLineChars="0"/>
        <w:jc w:val="left"/>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基本服务要求</w:t>
      </w:r>
    </w:p>
    <w:p w14:paraId="166C459D">
      <w:pPr>
        <w:numPr>
          <w:ilvl w:val="0"/>
          <w:numId w:val="3"/>
        </w:numPr>
        <w:ind w:left="0" w:leftChars="0" w:firstLine="420" w:firstLineChars="200"/>
        <w:rPr>
          <w:rFonts w:hint="eastAsia" w:eastAsiaTheme="minorEastAsia"/>
          <w:lang w:eastAsia="zh-CN"/>
        </w:rPr>
      </w:pPr>
      <w:r>
        <w:rPr>
          <w:rFonts w:hint="eastAsia"/>
        </w:rPr>
        <w:t>接到服务请求后要求15分钟内响应，当问题无法通过远程处理，需要现场支持解决时，南宁市内接到响应后下一个工作日前到达故障现场，着手处理问题</w:t>
      </w:r>
      <w:r>
        <w:rPr>
          <w:rFonts w:hint="eastAsia"/>
          <w:lang w:eastAsia="zh-CN"/>
        </w:rPr>
        <w:t>；</w:t>
      </w:r>
    </w:p>
    <w:p w14:paraId="0AF97848">
      <w:pPr>
        <w:numPr>
          <w:ilvl w:val="0"/>
          <w:numId w:val="3"/>
        </w:numPr>
        <w:ind w:left="0" w:leftChars="0" w:firstLine="420" w:firstLineChars="200"/>
        <w:rPr>
          <w:rFonts w:hint="eastAsia"/>
        </w:rPr>
      </w:pPr>
      <w:r>
        <w:rPr>
          <w:rFonts w:hint="eastAsia"/>
        </w:rPr>
        <w:t>所有设备均按标准提供设备的备件更换解决服务；</w:t>
      </w:r>
    </w:p>
    <w:p w14:paraId="01A48254">
      <w:pPr>
        <w:numPr>
          <w:ilvl w:val="0"/>
          <w:numId w:val="3"/>
        </w:numPr>
        <w:ind w:left="0" w:leftChars="0" w:firstLine="420" w:firstLineChars="200"/>
        <w:rPr>
          <w:rFonts w:hint="eastAsia"/>
        </w:rPr>
      </w:pPr>
      <w:r>
        <w:rPr>
          <w:rFonts w:hint="eastAsia"/>
        </w:rPr>
        <w:t>保修期内每半年提供一次例行巡检服务(具体详见各设备清单)，并提交运行健康状况分析报告；</w:t>
      </w:r>
      <w:r>
        <w:rPr>
          <w:rFonts w:hint="eastAsia"/>
        </w:rPr>
        <w:tab/>
      </w:r>
    </w:p>
    <w:p w14:paraId="4E872543">
      <w:pPr>
        <w:numPr>
          <w:ilvl w:val="0"/>
          <w:numId w:val="3"/>
        </w:numPr>
        <w:ind w:left="0" w:leftChars="0" w:firstLine="420" w:firstLineChars="200"/>
        <w:rPr>
          <w:rFonts w:hint="eastAsia"/>
        </w:rPr>
      </w:pPr>
      <w:r>
        <w:rPr>
          <w:rFonts w:hint="eastAsia"/>
        </w:rPr>
        <w:t>维保期间，具备可提供广西本地专用备件库；</w:t>
      </w:r>
    </w:p>
    <w:p w14:paraId="594BA503">
      <w:pPr>
        <w:numPr>
          <w:ilvl w:val="0"/>
          <w:numId w:val="3"/>
        </w:numPr>
        <w:ind w:left="0" w:leftChars="0" w:firstLine="420" w:firstLineChars="200"/>
        <w:rPr>
          <w:rFonts w:hint="eastAsia"/>
        </w:rPr>
      </w:pPr>
      <w:r>
        <w:rPr>
          <w:rFonts w:hint="eastAsia"/>
        </w:rPr>
        <w:t>维保期间，提供对维保的设备产品的免费咨询服务；</w:t>
      </w:r>
    </w:p>
    <w:p w14:paraId="4D6BC79D">
      <w:pPr>
        <w:numPr>
          <w:ilvl w:val="0"/>
          <w:numId w:val="3"/>
        </w:numPr>
        <w:ind w:left="0" w:leftChars="0" w:firstLine="420" w:firstLineChars="200"/>
      </w:pPr>
      <w:r>
        <w:rPr>
          <w:rFonts w:hint="eastAsia"/>
        </w:rPr>
        <w:t>维保期内，需提供多种联系手段提供快捷的响应服务，如：7×24热线咨询电话和专线负责人等；远程技术支持，服务内容包括：备件先行、现场工程师硬件更换、现场问题处理：7×10×ND（下一个工作日）、软件更新授权：提供主机版本软件的维护版本(补丁和小版本)、网站在线技术文档支持、电话热线技术支持、E-mail回复支持、MSN、QQ和远程调试支持，要求能解答在设备使用中遇到的问题，及时提出解决问题的建议和操作方法。</w:t>
      </w:r>
    </w:p>
    <w:p w14:paraId="7E4D29E9">
      <w:pPr>
        <w:numPr>
          <w:ilvl w:val="0"/>
          <w:numId w:val="2"/>
        </w:numPr>
        <w:spacing w:line="360" w:lineRule="auto"/>
        <w:ind w:left="0" w:leftChars="0" w:firstLine="420" w:firstLineChars="0"/>
        <w:jc w:val="left"/>
        <w:rPr>
          <w:rFonts w:hint="eastAsia" w:ascii="宋体" w:hAnsi="宋体" w:eastAsia="宋体" w:cs="宋体"/>
          <w:b/>
          <w:color w:val="000000" w:themeColor="text1"/>
          <w:sz w:val="24"/>
          <w14:textFill>
            <w14:solidFill>
              <w14:schemeClr w14:val="tx1"/>
            </w14:solidFill>
          </w14:textFill>
        </w:rPr>
      </w:pPr>
      <w:bookmarkStart w:id="0" w:name="_Toc240960005"/>
      <w:bookmarkStart w:id="1" w:name="_Toc4453"/>
      <w:bookmarkStart w:id="2" w:name="_Toc240966783"/>
      <w:bookmarkStart w:id="3" w:name="_Toc240965899"/>
      <w:bookmarkStart w:id="4" w:name="_Toc241032545"/>
      <w:bookmarkStart w:id="5" w:name="_Toc243986880"/>
      <w:r>
        <w:rPr>
          <w:rFonts w:hint="eastAsia" w:ascii="宋体" w:hAnsi="宋体" w:eastAsia="宋体" w:cs="宋体"/>
          <w:b/>
          <w:color w:val="000000" w:themeColor="text1"/>
          <w:sz w:val="24"/>
          <w14:textFill>
            <w14:solidFill>
              <w14:schemeClr w14:val="tx1"/>
            </w14:solidFill>
          </w14:textFill>
        </w:rPr>
        <w:t>维保服务内容</w:t>
      </w:r>
      <w:bookmarkEnd w:id="0"/>
      <w:bookmarkEnd w:id="1"/>
      <w:bookmarkEnd w:id="2"/>
      <w:bookmarkEnd w:id="3"/>
      <w:bookmarkEnd w:id="4"/>
      <w:bookmarkEnd w:id="5"/>
    </w:p>
    <w:p w14:paraId="0F42E8A5">
      <w:pPr>
        <w:numPr>
          <w:ilvl w:val="0"/>
          <w:numId w:val="4"/>
        </w:numPr>
        <w:ind w:left="0" w:leftChars="0" w:firstLine="420" w:firstLineChars="200"/>
        <w:rPr>
          <w:rFonts w:hint="eastAsia"/>
          <w:lang w:val="en-US" w:eastAsia="zh-CN"/>
        </w:rPr>
      </w:pPr>
      <w:r>
        <w:rPr>
          <w:rFonts w:hint="eastAsia"/>
          <w:lang w:val="en-US" w:eastAsia="zh-CN"/>
        </w:rPr>
        <w:t>电话专线服务</w:t>
      </w:r>
    </w:p>
    <w:p w14:paraId="3B833F36">
      <w:pPr>
        <w:ind w:firstLine="420"/>
      </w:pPr>
      <w:r>
        <w:rPr>
          <w:rFonts w:hint="eastAsia"/>
        </w:rPr>
        <w:t>为医院提供</w:t>
      </w:r>
      <w:r>
        <w:t>24</w:t>
      </w:r>
      <w:r>
        <w:rPr>
          <w:rFonts w:hint="eastAsia"/>
        </w:rPr>
        <w:t>小时不间断的售后技术支持（故障申报、硬件报修等）、 销售及购买咨询、服务政策咨询、投诉及建议等服务请求受理。</w:t>
      </w:r>
    </w:p>
    <w:p w14:paraId="209591B2">
      <w:pPr>
        <w:ind w:firstLine="420"/>
      </w:pPr>
      <w:r>
        <w:rPr>
          <w:rFonts w:hint="eastAsia"/>
        </w:rPr>
        <w:t>要求</w:t>
      </w:r>
      <w:r>
        <w:t>所有来电进行实时响应，并在最短时间内转接到相应的技术工程师，技术工程师对故障问题进行实时受理。整个服务过程有配套的IT系统进行全程记录和跟踪，</w:t>
      </w:r>
      <w:r>
        <w:rPr>
          <w:rFonts w:hint="eastAsia"/>
        </w:rPr>
        <w:t>确保</w:t>
      </w:r>
      <w:r>
        <w:t>每个服务请求都能够及时，高效的得到处理。</w:t>
      </w:r>
      <w:bookmarkStart w:id="6" w:name="_Ref245541860"/>
    </w:p>
    <w:bookmarkEnd w:id="6"/>
    <w:p w14:paraId="0BB6DD89">
      <w:pPr>
        <w:numPr>
          <w:ilvl w:val="0"/>
          <w:numId w:val="4"/>
        </w:numPr>
        <w:ind w:left="0" w:leftChars="0" w:firstLine="420" w:firstLineChars="200"/>
        <w:rPr>
          <w:rFonts w:hint="eastAsia"/>
          <w:lang w:val="en-US" w:eastAsia="zh-CN"/>
        </w:rPr>
      </w:pPr>
      <w:bookmarkStart w:id="7" w:name="_Toc23998"/>
      <w:r>
        <w:rPr>
          <w:rFonts w:hint="eastAsia"/>
          <w:lang w:val="en-US" w:eastAsia="zh-CN"/>
        </w:rPr>
        <w:t>远程问题处理</w:t>
      </w:r>
      <w:bookmarkEnd w:id="7"/>
    </w:p>
    <w:p w14:paraId="5BD50969">
      <w:pPr>
        <w:ind w:firstLine="420"/>
      </w:pPr>
      <w:bookmarkStart w:id="8" w:name="_Toc241641296"/>
      <w:r>
        <w:rPr>
          <w:rFonts w:hint="eastAsia"/>
        </w:rPr>
        <w:t>服务方工程师在接到网络或系统故障申报后，根据情况进行远程故障分析与处理，及时排除故障。远程问题处理包括电话支持和远程接入。</w:t>
      </w:r>
      <w:bookmarkStart w:id="9" w:name="_Toc243986884"/>
      <w:bookmarkStart w:id="10" w:name="_Toc243968450"/>
    </w:p>
    <w:p w14:paraId="1BDD9834">
      <w:pPr>
        <w:numPr>
          <w:ilvl w:val="0"/>
          <w:numId w:val="5"/>
        </w:numPr>
        <w:ind w:left="0" w:leftChars="0" w:firstLine="420" w:firstLineChars="200"/>
      </w:pPr>
      <w:r>
        <w:rPr>
          <w:rFonts w:hint="eastAsia"/>
          <w:lang w:val="zh-CN"/>
        </w:rPr>
        <w:t>电话支持</w:t>
      </w:r>
      <w:bookmarkEnd w:id="9"/>
      <w:bookmarkEnd w:id="10"/>
    </w:p>
    <w:p w14:paraId="77D3F4BB">
      <w:pPr>
        <w:ind w:firstLine="420"/>
      </w:pPr>
      <w:r>
        <w:rPr>
          <w:rFonts w:hint="eastAsia"/>
        </w:rPr>
        <w:t>服务方</w:t>
      </w:r>
      <w:r>
        <w:t>接到服务请求后，将在服务等级规定的响应时间内通过电话支持进行响应，</w:t>
      </w:r>
      <w:r>
        <w:rPr>
          <w:rFonts w:hint="eastAsia"/>
        </w:rPr>
        <w:t>帮助医院对问题进行分析、诊断以及定位，提供解决问题的方案，并引导实施</w:t>
      </w:r>
      <w:r>
        <w:t>。</w:t>
      </w:r>
      <w:bookmarkStart w:id="11" w:name="_Toc243986885"/>
      <w:bookmarkStart w:id="12" w:name="_Toc243968451"/>
    </w:p>
    <w:p w14:paraId="4BAF4C1B">
      <w:pPr>
        <w:numPr>
          <w:ilvl w:val="0"/>
          <w:numId w:val="5"/>
        </w:numPr>
        <w:ind w:left="0" w:leftChars="0" w:firstLine="420" w:firstLineChars="200"/>
        <w:rPr>
          <w:rFonts w:hint="eastAsia"/>
          <w:lang w:val="zh-CN"/>
        </w:rPr>
      </w:pPr>
      <w:r>
        <w:rPr>
          <w:rFonts w:hint="eastAsia"/>
          <w:lang w:val="zh-CN"/>
        </w:rPr>
        <w:t>远程接入</w:t>
      </w:r>
      <w:bookmarkEnd w:id="11"/>
      <w:bookmarkEnd w:id="12"/>
    </w:p>
    <w:p w14:paraId="646A64C3">
      <w:pPr>
        <w:ind w:firstLine="420"/>
      </w:pPr>
      <w:r>
        <w:t>对于通过电话支持服务不能解决的故障或问题，</w:t>
      </w:r>
      <w:r>
        <w:rPr>
          <w:rFonts w:hint="eastAsia"/>
        </w:rPr>
        <w:t>服务方</w:t>
      </w:r>
      <w:r>
        <w:t>在征</w:t>
      </w:r>
      <w:r>
        <w:rPr>
          <w:rFonts w:hint="eastAsia"/>
        </w:rPr>
        <w:t>在医院授权许可</w:t>
      </w:r>
      <w:r>
        <w:t>后，</w:t>
      </w:r>
      <w:r>
        <w:rPr>
          <w:rFonts w:hint="eastAsia"/>
        </w:rPr>
        <w:t>可</w:t>
      </w:r>
      <w:r>
        <w:t>通过远程终端登陆到</w:t>
      </w:r>
      <w:r>
        <w:rPr>
          <w:rFonts w:hint="eastAsia"/>
        </w:rPr>
        <w:t>故障设备中</w:t>
      </w:r>
      <w:r>
        <w:t>调查和收集数据，</w:t>
      </w:r>
      <w:r>
        <w:rPr>
          <w:rFonts w:hint="eastAsia"/>
        </w:rPr>
        <w:t>分析故障原因，提出解决方案，指导实施，必要时可以提供远程操作。</w:t>
      </w:r>
      <w:bookmarkEnd w:id="8"/>
    </w:p>
    <w:p w14:paraId="49B979F4">
      <w:pPr>
        <w:numPr>
          <w:ilvl w:val="0"/>
          <w:numId w:val="4"/>
        </w:numPr>
        <w:ind w:left="0" w:leftChars="0" w:firstLine="420" w:firstLineChars="200"/>
        <w:rPr>
          <w:rFonts w:hint="eastAsia"/>
          <w:lang w:val="en-US" w:eastAsia="zh-CN"/>
        </w:rPr>
      </w:pPr>
      <w:bookmarkStart w:id="13" w:name="_Toc25089"/>
      <w:bookmarkStart w:id="14" w:name="_Toc240960014"/>
      <w:bookmarkStart w:id="15" w:name="_Toc243986882"/>
      <w:bookmarkStart w:id="16" w:name="_Toc241641294"/>
      <w:bookmarkStart w:id="17" w:name="_Toc240966791"/>
      <w:bookmarkStart w:id="18" w:name="_Toc240966792"/>
      <w:bookmarkStart w:id="19" w:name="_Toc240960015"/>
      <w:r>
        <w:rPr>
          <w:rFonts w:hint="eastAsia"/>
          <w:lang w:val="en-US" w:eastAsia="zh-CN"/>
        </w:rPr>
        <w:t>软件更新授权</w:t>
      </w:r>
      <w:bookmarkEnd w:id="13"/>
    </w:p>
    <w:p w14:paraId="0B710A99">
      <w:pPr>
        <w:ind w:firstLine="420"/>
      </w:pPr>
      <w:r>
        <w:t>为确保</w:t>
      </w:r>
      <w:r>
        <w:rPr>
          <w:rFonts w:hint="eastAsia"/>
        </w:rPr>
        <w:t>医院</w:t>
      </w:r>
      <w:r>
        <w:t>购买设备的稳定运行，</w:t>
      </w:r>
      <w:r>
        <w:rPr>
          <w:rFonts w:hint="eastAsia"/>
        </w:rPr>
        <w:t>服务方需</w:t>
      </w:r>
      <w:r>
        <w:t>向</w:t>
      </w:r>
      <w:r>
        <w:rPr>
          <w:rFonts w:hint="eastAsia"/>
        </w:rPr>
        <w:t>客</w:t>
      </w:r>
      <w:r>
        <w:t>户提供软件</w:t>
      </w:r>
      <w:r>
        <w:rPr>
          <w:rFonts w:hint="eastAsia"/>
        </w:rPr>
        <w:t>修正补丁</w:t>
      </w:r>
      <w:r>
        <w:t>，</w:t>
      </w:r>
      <w:r>
        <w:rPr>
          <w:rFonts w:hint="eastAsia"/>
        </w:rPr>
        <w:t>指导并协助客户安装</w:t>
      </w:r>
      <w:r>
        <w:t>。补丁是指对原授权软件所做的修正和补充，是此版本软件运行过程中已发现问题的解决</w:t>
      </w:r>
      <w:r>
        <w:rPr>
          <w:rFonts w:hint="eastAsia"/>
        </w:rPr>
        <w:t>措施</w:t>
      </w:r>
      <w:r>
        <w:t>，这些软件补丁都</w:t>
      </w:r>
      <w:r>
        <w:rPr>
          <w:rFonts w:hint="eastAsia"/>
        </w:rPr>
        <w:t>在</w:t>
      </w:r>
      <w:r>
        <w:t>实际应用环境或者模拟实验网中得到改进和验证，将对原授权软件起到消除运行隐患的作用。</w:t>
      </w:r>
    </w:p>
    <w:p w14:paraId="3380F8C4">
      <w:pPr>
        <w:numPr>
          <w:ilvl w:val="0"/>
          <w:numId w:val="4"/>
        </w:numPr>
        <w:ind w:left="0" w:leftChars="0" w:firstLine="420" w:firstLineChars="200"/>
        <w:rPr>
          <w:rFonts w:hint="eastAsia"/>
          <w:lang w:val="en-US" w:eastAsia="zh-CN"/>
        </w:rPr>
      </w:pPr>
      <w:bookmarkStart w:id="20" w:name="_Toc25028"/>
      <w:r>
        <w:rPr>
          <w:rFonts w:hint="eastAsia"/>
          <w:lang w:val="en-US" w:eastAsia="zh-CN"/>
        </w:rPr>
        <w:t>备件先行</w:t>
      </w:r>
      <w:bookmarkEnd w:id="14"/>
      <w:bookmarkEnd w:id="15"/>
      <w:bookmarkEnd w:id="16"/>
      <w:bookmarkEnd w:id="17"/>
      <w:r>
        <w:rPr>
          <w:rFonts w:hint="eastAsia"/>
          <w:lang w:val="en-US" w:eastAsia="zh-CN"/>
        </w:rPr>
        <w:t>服务</w:t>
      </w:r>
      <w:bookmarkEnd w:id="20"/>
    </w:p>
    <w:p w14:paraId="1607138E">
      <w:pPr>
        <w:ind w:firstLine="420"/>
        <w:rPr>
          <w:rFonts w:hint="eastAsia"/>
        </w:rPr>
      </w:pPr>
      <w:r>
        <w:rPr>
          <w:rFonts w:hint="eastAsia"/>
        </w:rPr>
        <w:t>服务方在通过医院的备件服务申请后，提前提供更换件，并提供故障件提取服务。更换件要求新件或者是同等类型和功能的好件。更换件归医院所有，原有的故障件退回服务方。</w:t>
      </w:r>
    </w:p>
    <w:p w14:paraId="5945673E">
      <w:pPr>
        <w:ind w:firstLine="420"/>
        <w:rPr>
          <w:rFonts w:hint="eastAsia"/>
        </w:rPr>
      </w:pPr>
      <w:r>
        <w:rPr>
          <w:rFonts w:hint="eastAsia"/>
        </w:rPr>
        <w:t>经更换过的产品/部件，可以获得维修完成发货之日起或设备更换之日起 90 天的维保服务，或者继续获得原有的剩余维保期服务，以两者中较长的时间为准。</w:t>
      </w:r>
    </w:p>
    <w:bookmarkEnd w:id="18"/>
    <w:bookmarkEnd w:id="19"/>
    <w:p w14:paraId="55A84CB5">
      <w:pPr>
        <w:numPr>
          <w:ilvl w:val="0"/>
          <w:numId w:val="4"/>
        </w:numPr>
        <w:ind w:left="0" w:leftChars="0" w:firstLine="420" w:firstLineChars="200"/>
        <w:rPr>
          <w:rFonts w:hint="eastAsia"/>
          <w:lang w:val="en-US" w:eastAsia="zh-CN"/>
        </w:rPr>
      </w:pPr>
      <w:bookmarkStart w:id="21" w:name="_Toc12520"/>
      <w:r>
        <w:rPr>
          <w:rFonts w:hint="eastAsia"/>
          <w:lang w:val="en-US" w:eastAsia="zh-CN"/>
        </w:rPr>
        <w:t>现场工程师硬件更换服务</w:t>
      </w:r>
      <w:bookmarkEnd w:id="21"/>
    </w:p>
    <w:p w14:paraId="1762158F">
      <w:pPr>
        <w:ind w:firstLine="420"/>
        <w:rPr>
          <w:rFonts w:hint="eastAsia"/>
        </w:rPr>
      </w:pPr>
      <w:r>
        <w:rPr>
          <w:rFonts w:hint="eastAsia"/>
        </w:rPr>
        <w:t>对于定位为需要硬件更换才能解决的问题，服务方需安排经验丰富的技术支持工程师在服务协议规定时间内赴用户现场，进行现场硬件更换，排除故障使系统恢复正常运行。</w:t>
      </w:r>
    </w:p>
    <w:p w14:paraId="1CC6174C">
      <w:pPr>
        <w:ind w:firstLine="420"/>
        <w:rPr>
          <w:rFonts w:hint="eastAsia"/>
        </w:rPr>
      </w:pPr>
      <w:r>
        <w:rPr>
          <w:rFonts w:hint="eastAsia"/>
        </w:rPr>
        <w:t>现场硬件更换后，工程师负责取回更换下来的故障件；对于当时无法取回的情况，双方协商将故障件返回服务方指定接收点。</w:t>
      </w:r>
    </w:p>
    <w:p w14:paraId="3D324D5B">
      <w:pPr>
        <w:numPr>
          <w:ilvl w:val="0"/>
          <w:numId w:val="4"/>
        </w:numPr>
        <w:ind w:left="0" w:leftChars="0" w:firstLine="420" w:firstLineChars="200"/>
        <w:rPr>
          <w:rFonts w:hint="eastAsia"/>
          <w:lang w:val="en-US" w:eastAsia="zh-CN"/>
        </w:rPr>
      </w:pPr>
      <w:bookmarkStart w:id="22" w:name="_Toc2144"/>
      <w:r>
        <w:rPr>
          <w:rFonts w:hint="eastAsia"/>
          <w:lang w:val="en-US" w:eastAsia="zh-CN"/>
        </w:rPr>
        <w:t>现场问题处理</w:t>
      </w:r>
      <w:bookmarkEnd w:id="22"/>
    </w:p>
    <w:p w14:paraId="20088679">
      <w:pPr>
        <w:ind w:firstLine="420"/>
        <w:rPr>
          <w:rFonts w:hint="eastAsia"/>
        </w:rPr>
      </w:pPr>
      <w:r>
        <w:rPr>
          <w:rFonts w:hint="eastAsia"/>
        </w:rPr>
        <w:t>如果遇到通过远程技术支持不能有效解决的设备问题，服务方需安排经验丰富的技术支持工程师在服务协议规定时间内赴用户现场，协助医院进行现场故障诊断、制定故障恢复方案并现场排除故障。</w:t>
      </w:r>
    </w:p>
    <w:p w14:paraId="03994F5D">
      <w:pPr>
        <w:numPr>
          <w:ilvl w:val="0"/>
          <w:numId w:val="2"/>
        </w:numPr>
        <w:spacing w:line="360" w:lineRule="auto"/>
        <w:ind w:left="0" w:leftChars="0" w:firstLine="420" w:firstLineChars="0"/>
        <w:jc w:val="left"/>
        <w:rPr>
          <w:lang w:eastAsia="zh-CN"/>
        </w:rPr>
      </w:pPr>
      <w:bookmarkStart w:id="23" w:name="_Toc25273"/>
      <w:r>
        <w:rPr>
          <w:rFonts w:hint="eastAsia" w:ascii="宋体" w:hAnsi="宋体" w:eastAsia="宋体" w:cs="宋体"/>
          <w:b/>
          <w:color w:val="000000" w:themeColor="text1"/>
          <w:sz w:val="24"/>
          <w14:textFill>
            <w14:solidFill>
              <w14:schemeClr w14:val="tx1"/>
            </w14:solidFill>
          </w14:textFill>
        </w:rPr>
        <w:t>维保服务执行标准</w:t>
      </w:r>
      <w:bookmarkEnd w:id="23"/>
    </w:p>
    <w:tbl>
      <w:tblPr>
        <w:tblStyle w:val="13"/>
        <w:tblW w:w="43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1530"/>
        <w:gridCol w:w="2172"/>
        <w:gridCol w:w="1972"/>
      </w:tblGrid>
      <w:tr w14:paraId="5FF8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blHeader/>
          <w:jc w:val="center"/>
        </w:trPr>
        <w:tc>
          <w:tcPr>
            <w:tcW w:w="1135" w:type="pct"/>
            <w:shd w:val="clear" w:color="auto" w:fill="FFFFFF" w:themeFill="background1"/>
            <w:vAlign w:val="center"/>
          </w:tcPr>
          <w:p w14:paraId="5CFC9F27">
            <w:pPr>
              <w:rPr>
                <w:b/>
                <w:bCs/>
              </w:rPr>
            </w:pPr>
            <w:r>
              <w:rPr>
                <w:rFonts w:hint="eastAsia"/>
                <w:b/>
                <w:bCs/>
              </w:rPr>
              <w:t>服务内容</w:t>
            </w:r>
          </w:p>
        </w:tc>
        <w:tc>
          <w:tcPr>
            <w:tcW w:w="1042" w:type="pct"/>
            <w:shd w:val="clear" w:color="auto" w:fill="FFFFFF" w:themeFill="background1"/>
            <w:vAlign w:val="center"/>
          </w:tcPr>
          <w:p w14:paraId="7F0B780A">
            <w:pPr>
              <w:rPr>
                <w:b/>
                <w:bCs/>
              </w:rPr>
            </w:pPr>
            <w:r>
              <w:rPr>
                <w:rFonts w:hint="eastAsia"/>
                <w:b/>
                <w:bCs/>
              </w:rPr>
              <w:t>服务响应时间</w:t>
            </w:r>
          </w:p>
        </w:tc>
        <w:tc>
          <w:tcPr>
            <w:tcW w:w="1479" w:type="pct"/>
            <w:shd w:val="clear" w:color="auto" w:fill="FFFFFF" w:themeFill="background1"/>
            <w:vAlign w:val="center"/>
          </w:tcPr>
          <w:p w14:paraId="4715CFFE">
            <w:pPr>
              <w:rPr>
                <w:b/>
                <w:bCs/>
              </w:rPr>
            </w:pPr>
            <w:r>
              <w:rPr>
                <w:rFonts w:hint="eastAsia"/>
                <w:b/>
                <w:bCs/>
              </w:rPr>
              <w:t>描述</w:t>
            </w:r>
          </w:p>
        </w:tc>
        <w:tc>
          <w:tcPr>
            <w:tcW w:w="1342" w:type="pct"/>
            <w:shd w:val="clear" w:color="auto" w:fill="FFFFFF" w:themeFill="background1"/>
            <w:vAlign w:val="center"/>
          </w:tcPr>
          <w:p w14:paraId="2E6FF3E0">
            <w:pPr>
              <w:rPr>
                <w:b/>
                <w:bCs/>
              </w:rPr>
            </w:pPr>
            <w:r>
              <w:rPr>
                <w:rFonts w:hint="eastAsia"/>
                <w:b/>
                <w:bCs/>
              </w:rPr>
              <w:t>备注</w:t>
            </w:r>
          </w:p>
        </w:tc>
      </w:tr>
      <w:tr w14:paraId="0AF0E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35" w:type="pct"/>
            <w:vAlign w:val="center"/>
          </w:tcPr>
          <w:p w14:paraId="41016B7F">
            <w:pPr>
              <w:rPr>
                <w:sz w:val="20"/>
                <w:szCs w:val="22"/>
              </w:rPr>
            </w:pPr>
            <w:r>
              <w:rPr>
                <w:rFonts w:hint="eastAsia"/>
                <w:sz w:val="20"/>
                <w:szCs w:val="22"/>
              </w:rPr>
              <w:t>热线受理</w:t>
            </w:r>
          </w:p>
        </w:tc>
        <w:tc>
          <w:tcPr>
            <w:tcW w:w="1042" w:type="pct"/>
            <w:vAlign w:val="center"/>
          </w:tcPr>
          <w:p w14:paraId="010D665B">
            <w:pPr>
              <w:rPr>
                <w:sz w:val="20"/>
                <w:szCs w:val="22"/>
              </w:rPr>
            </w:pPr>
            <w:r>
              <w:rPr>
                <w:rFonts w:hint="eastAsia"/>
                <w:sz w:val="20"/>
                <w:szCs w:val="22"/>
              </w:rPr>
              <w:t>7×24</w:t>
            </w:r>
          </w:p>
        </w:tc>
        <w:tc>
          <w:tcPr>
            <w:tcW w:w="1479" w:type="pct"/>
            <w:vAlign w:val="center"/>
          </w:tcPr>
          <w:p w14:paraId="69ED57FE">
            <w:pPr>
              <w:rPr>
                <w:sz w:val="20"/>
                <w:szCs w:val="22"/>
              </w:rPr>
            </w:pPr>
            <w:r>
              <w:rPr>
                <w:rFonts w:hint="eastAsia"/>
                <w:sz w:val="20"/>
                <w:szCs w:val="22"/>
              </w:rPr>
              <w:t>7×24：</w:t>
            </w:r>
            <w:r>
              <w:rPr>
                <w:sz w:val="20"/>
                <w:szCs w:val="22"/>
              </w:rPr>
              <w:t>周一至周</w:t>
            </w:r>
            <w:r>
              <w:rPr>
                <w:rFonts w:hint="eastAsia"/>
                <w:sz w:val="20"/>
                <w:szCs w:val="22"/>
              </w:rPr>
              <w:t>日,</w:t>
            </w:r>
            <w:r>
              <w:rPr>
                <w:sz w:val="20"/>
                <w:szCs w:val="22"/>
              </w:rPr>
              <w:t xml:space="preserve"> 00:00～2</w:t>
            </w:r>
            <w:r>
              <w:rPr>
                <w:rFonts w:hint="eastAsia"/>
                <w:sz w:val="20"/>
                <w:szCs w:val="22"/>
              </w:rPr>
              <w:t>4</w:t>
            </w:r>
            <w:r>
              <w:rPr>
                <w:sz w:val="20"/>
                <w:szCs w:val="22"/>
              </w:rPr>
              <w:t>:</w:t>
            </w:r>
            <w:r>
              <w:rPr>
                <w:rFonts w:hint="eastAsia"/>
                <w:sz w:val="20"/>
                <w:szCs w:val="22"/>
              </w:rPr>
              <w:t>00</w:t>
            </w:r>
            <w:r>
              <w:rPr>
                <w:sz w:val="20"/>
                <w:szCs w:val="22"/>
              </w:rPr>
              <w:t>（</w:t>
            </w:r>
            <w:r>
              <w:rPr>
                <w:rFonts w:hint="eastAsia"/>
                <w:sz w:val="20"/>
                <w:szCs w:val="22"/>
              </w:rPr>
              <w:t>全天候,</w:t>
            </w:r>
            <w:r>
              <w:rPr>
                <w:sz w:val="20"/>
                <w:szCs w:val="22"/>
              </w:rPr>
              <w:t>节假日</w:t>
            </w:r>
            <w:r>
              <w:rPr>
                <w:rFonts w:hint="eastAsia"/>
                <w:sz w:val="20"/>
                <w:szCs w:val="22"/>
              </w:rPr>
              <w:t>无休</w:t>
            </w:r>
            <w:r>
              <w:rPr>
                <w:sz w:val="20"/>
                <w:szCs w:val="22"/>
              </w:rPr>
              <w:t>）</w:t>
            </w:r>
          </w:p>
        </w:tc>
        <w:tc>
          <w:tcPr>
            <w:tcW w:w="1342" w:type="pct"/>
            <w:vAlign w:val="center"/>
          </w:tcPr>
          <w:p w14:paraId="50494638">
            <w:pPr>
              <w:rPr>
                <w:sz w:val="20"/>
                <w:szCs w:val="22"/>
              </w:rPr>
            </w:pPr>
            <w:r>
              <w:rPr>
                <w:rFonts w:hint="eastAsia"/>
                <w:sz w:val="20"/>
                <w:szCs w:val="22"/>
              </w:rPr>
              <w:t>无</w:t>
            </w:r>
          </w:p>
        </w:tc>
      </w:tr>
      <w:tr w14:paraId="7615B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135" w:type="pct"/>
            <w:vAlign w:val="center"/>
          </w:tcPr>
          <w:p w14:paraId="5E8437EB">
            <w:pPr>
              <w:rPr>
                <w:sz w:val="20"/>
                <w:szCs w:val="22"/>
              </w:rPr>
            </w:pPr>
            <w:r>
              <w:rPr>
                <w:rFonts w:hint="eastAsia"/>
                <w:sz w:val="20"/>
                <w:szCs w:val="22"/>
              </w:rPr>
              <w:t>远程问题处理</w:t>
            </w:r>
          </w:p>
        </w:tc>
        <w:tc>
          <w:tcPr>
            <w:tcW w:w="1042" w:type="pct"/>
            <w:vAlign w:val="center"/>
          </w:tcPr>
          <w:p w14:paraId="33BD1C65">
            <w:pPr>
              <w:rPr>
                <w:sz w:val="20"/>
                <w:szCs w:val="22"/>
              </w:rPr>
            </w:pPr>
            <w:r>
              <w:rPr>
                <w:rFonts w:hint="eastAsia"/>
                <w:sz w:val="20"/>
                <w:szCs w:val="22"/>
              </w:rPr>
              <w:t>7×24</w:t>
            </w:r>
          </w:p>
        </w:tc>
        <w:tc>
          <w:tcPr>
            <w:tcW w:w="1479" w:type="pct"/>
            <w:vAlign w:val="center"/>
          </w:tcPr>
          <w:p w14:paraId="253978D4">
            <w:pPr>
              <w:rPr>
                <w:sz w:val="20"/>
                <w:szCs w:val="22"/>
              </w:rPr>
            </w:pPr>
            <w:r>
              <w:rPr>
                <w:rFonts w:hint="eastAsia"/>
                <w:sz w:val="20"/>
                <w:szCs w:val="22"/>
              </w:rPr>
              <w:t>7×24：</w:t>
            </w:r>
            <w:r>
              <w:rPr>
                <w:sz w:val="20"/>
                <w:szCs w:val="22"/>
              </w:rPr>
              <w:t>周一至周</w:t>
            </w:r>
            <w:r>
              <w:rPr>
                <w:rFonts w:hint="eastAsia"/>
                <w:sz w:val="20"/>
                <w:szCs w:val="22"/>
              </w:rPr>
              <w:t>日,</w:t>
            </w:r>
            <w:r>
              <w:rPr>
                <w:sz w:val="20"/>
                <w:szCs w:val="22"/>
              </w:rPr>
              <w:t xml:space="preserve"> 00:00～2</w:t>
            </w:r>
            <w:r>
              <w:rPr>
                <w:rFonts w:hint="eastAsia"/>
                <w:sz w:val="20"/>
                <w:szCs w:val="22"/>
              </w:rPr>
              <w:t>4</w:t>
            </w:r>
            <w:r>
              <w:rPr>
                <w:sz w:val="20"/>
                <w:szCs w:val="22"/>
              </w:rPr>
              <w:t>:</w:t>
            </w:r>
            <w:r>
              <w:rPr>
                <w:rFonts w:hint="eastAsia"/>
                <w:sz w:val="20"/>
                <w:szCs w:val="22"/>
              </w:rPr>
              <w:t>00</w:t>
            </w:r>
            <w:r>
              <w:rPr>
                <w:sz w:val="20"/>
                <w:szCs w:val="22"/>
              </w:rPr>
              <w:t>（</w:t>
            </w:r>
            <w:r>
              <w:rPr>
                <w:rFonts w:hint="eastAsia"/>
                <w:sz w:val="20"/>
                <w:szCs w:val="22"/>
              </w:rPr>
              <w:t>全天候,</w:t>
            </w:r>
            <w:r>
              <w:rPr>
                <w:sz w:val="20"/>
                <w:szCs w:val="22"/>
              </w:rPr>
              <w:t>节假日</w:t>
            </w:r>
            <w:r>
              <w:rPr>
                <w:rFonts w:hint="eastAsia"/>
                <w:sz w:val="20"/>
                <w:szCs w:val="22"/>
              </w:rPr>
              <w:t>无休</w:t>
            </w:r>
            <w:r>
              <w:rPr>
                <w:sz w:val="20"/>
                <w:szCs w:val="22"/>
              </w:rPr>
              <w:t>）</w:t>
            </w:r>
          </w:p>
        </w:tc>
        <w:tc>
          <w:tcPr>
            <w:tcW w:w="1342" w:type="pct"/>
            <w:vAlign w:val="center"/>
          </w:tcPr>
          <w:p w14:paraId="7140A0C9">
            <w:pPr>
              <w:rPr>
                <w:sz w:val="20"/>
                <w:szCs w:val="22"/>
              </w:rPr>
            </w:pPr>
          </w:p>
        </w:tc>
      </w:tr>
      <w:tr w14:paraId="3F73F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135" w:type="pct"/>
            <w:vAlign w:val="center"/>
          </w:tcPr>
          <w:p w14:paraId="59D7AA83">
            <w:pPr>
              <w:rPr>
                <w:sz w:val="20"/>
                <w:szCs w:val="22"/>
              </w:rPr>
            </w:pPr>
            <w:r>
              <w:rPr>
                <w:rFonts w:hint="eastAsia"/>
                <w:sz w:val="20"/>
                <w:szCs w:val="22"/>
              </w:rPr>
              <w:t>在线技术支持</w:t>
            </w:r>
          </w:p>
        </w:tc>
        <w:tc>
          <w:tcPr>
            <w:tcW w:w="1042" w:type="pct"/>
            <w:vAlign w:val="center"/>
          </w:tcPr>
          <w:p w14:paraId="5EFD3E5E">
            <w:pPr>
              <w:rPr>
                <w:sz w:val="20"/>
                <w:szCs w:val="22"/>
              </w:rPr>
            </w:pPr>
            <w:r>
              <w:rPr>
                <w:rFonts w:hint="eastAsia"/>
                <w:sz w:val="20"/>
                <w:szCs w:val="22"/>
              </w:rPr>
              <w:t>7×24</w:t>
            </w:r>
          </w:p>
        </w:tc>
        <w:tc>
          <w:tcPr>
            <w:tcW w:w="1479" w:type="pct"/>
            <w:vAlign w:val="center"/>
          </w:tcPr>
          <w:p w14:paraId="324F7EA3">
            <w:pPr>
              <w:rPr>
                <w:sz w:val="20"/>
                <w:szCs w:val="22"/>
              </w:rPr>
            </w:pPr>
            <w:r>
              <w:rPr>
                <w:rFonts w:hint="eastAsia"/>
                <w:sz w:val="20"/>
                <w:szCs w:val="22"/>
              </w:rPr>
              <w:t>网站，7×24：</w:t>
            </w:r>
            <w:r>
              <w:rPr>
                <w:sz w:val="20"/>
                <w:szCs w:val="22"/>
              </w:rPr>
              <w:t>周一至周</w:t>
            </w:r>
            <w:r>
              <w:rPr>
                <w:rFonts w:hint="eastAsia"/>
                <w:sz w:val="20"/>
                <w:szCs w:val="22"/>
              </w:rPr>
              <w:t>日,</w:t>
            </w:r>
            <w:r>
              <w:rPr>
                <w:sz w:val="20"/>
                <w:szCs w:val="22"/>
              </w:rPr>
              <w:t xml:space="preserve"> 00:00～2</w:t>
            </w:r>
            <w:r>
              <w:rPr>
                <w:rFonts w:hint="eastAsia"/>
                <w:sz w:val="20"/>
                <w:szCs w:val="22"/>
              </w:rPr>
              <w:t>4</w:t>
            </w:r>
            <w:r>
              <w:rPr>
                <w:sz w:val="20"/>
                <w:szCs w:val="22"/>
              </w:rPr>
              <w:t>:</w:t>
            </w:r>
            <w:r>
              <w:rPr>
                <w:rFonts w:hint="eastAsia"/>
                <w:sz w:val="20"/>
                <w:szCs w:val="22"/>
              </w:rPr>
              <w:t>00</w:t>
            </w:r>
            <w:r>
              <w:rPr>
                <w:sz w:val="20"/>
                <w:szCs w:val="22"/>
              </w:rPr>
              <w:t>（</w:t>
            </w:r>
            <w:r>
              <w:rPr>
                <w:rFonts w:hint="eastAsia"/>
                <w:sz w:val="20"/>
                <w:szCs w:val="22"/>
              </w:rPr>
              <w:t>全天候</w:t>
            </w:r>
            <w:r>
              <w:rPr>
                <w:sz w:val="20"/>
                <w:szCs w:val="22"/>
              </w:rPr>
              <w:t>）</w:t>
            </w:r>
          </w:p>
        </w:tc>
        <w:tc>
          <w:tcPr>
            <w:tcW w:w="1342" w:type="pct"/>
            <w:vAlign w:val="center"/>
          </w:tcPr>
          <w:p w14:paraId="25D4FC47">
            <w:pPr>
              <w:rPr>
                <w:sz w:val="20"/>
                <w:szCs w:val="22"/>
              </w:rPr>
            </w:pPr>
            <w:r>
              <w:rPr>
                <w:rFonts w:hint="eastAsia"/>
                <w:sz w:val="20"/>
                <w:szCs w:val="22"/>
              </w:rPr>
              <w:t>无</w:t>
            </w:r>
          </w:p>
        </w:tc>
      </w:tr>
      <w:tr w14:paraId="3BF60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135" w:type="pct"/>
            <w:vAlign w:val="center"/>
          </w:tcPr>
          <w:p w14:paraId="483E0C48">
            <w:pPr>
              <w:rPr>
                <w:sz w:val="20"/>
                <w:szCs w:val="22"/>
              </w:rPr>
            </w:pPr>
            <w:r>
              <w:rPr>
                <w:rFonts w:hint="eastAsia"/>
                <w:sz w:val="20"/>
                <w:szCs w:val="22"/>
              </w:rPr>
              <w:t>软件更新授权</w:t>
            </w:r>
          </w:p>
        </w:tc>
        <w:tc>
          <w:tcPr>
            <w:tcW w:w="1042" w:type="pct"/>
            <w:vAlign w:val="center"/>
          </w:tcPr>
          <w:p w14:paraId="51463700">
            <w:pPr>
              <w:rPr>
                <w:sz w:val="20"/>
                <w:szCs w:val="22"/>
              </w:rPr>
            </w:pPr>
            <w:r>
              <w:rPr>
                <w:rFonts w:hint="eastAsia"/>
                <w:sz w:val="20"/>
                <w:szCs w:val="22"/>
              </w:rPr>
              <w:t>7×24</w:t>
            </w:r>
          </w:p>
        </w:tc>
        <w:tc>
          <w:tcPr>
            <w:tcW w:w="1479" w:type="pct"/>
            <w:vAlign w:val="center"/>
          </w:tcPr>
          <w:p w14:paraId="0C1A4911">
            <w:pPr>
              <w:rPr>
                <w:sz w:val="20"/>
                <w:szCs w:val="22"/>
              </w:rPr>
            </w:pPr>
            <w:r>
              <w:rPr>
                <w:rFonts w:hint="eastAsia"/>
                <w:sz w:val="20"/>
                <w:szCs w:val="22"/>
              </w:rPr>
              <w:t>网站，7×24：</w:t>
            </w:r>
            <w:r>
              <w:rPr>
                <w:sz w:val="20"/>
                <w:szCs w:val="22"/>
              </w:rPr>
              <w:t>周一至周</w:t>
            </w:r>
            <w:r>
              <w:rPr>
                <w:rFonts w:hint="eastAsia"/>
                <w:sz w:val="20"/>
                <w:szCs w:val="22"/>
              </w:rPr>
              <w:t>日,</w:t>
            </w:r>
            <w:r>
              <w:rPr>
                <w:sz w:val="20"/>
                <w:szCs w:val="22"/>
              </w:rPr>
              <w:t xml:space="preserve"> 00:00～2</w:t>
            </w:r>
            <w:r>
              <w:rPr>
                <w:rFonts w:hint="eastAsia"/>
                <w:sz w:val="20"/>
                <w:szCs w:val="22"/>
              </w:rPr>
              <w:t>4</w:t>
            </w:r>
            <w:r>
              <w:rPr>
                <w:sz w:val="20"/>
                <w:szCs w:val="22"/>
              </w:rPr>
              <w:t>:</w:t>
            </w:r>
            <w:r>
              <w:rPr>
                <w:rFonts w:hint="eastAsia"/>
                <w:sz w:val="20"/>
                <w:szCs w:val="22"/>
              </w:rPr>
              <w:t>00</w:t>
            </w:r>
            <w:r>
              <w:rPr>
                <w:sz w:val="20"/>
                <w:szCs w:val="22"/>
              </w:rPr>
              <w:t>（</w:t>
            </w:r>
            <w:r>
              <w:rPr>
                <w:rFonts w:hint="eastAsia"/>
                <w:sz w:val="20"/>
                <w:szCs w:val="22"/>
              </w:rPr>
              <w:t>全天候</w:t>
            </w:r>
            <w:r>
              <w:rPr>
                <w:sz w:val="20"/>
                <w:szCs w:val="22"/>
              </w:rPr>
              <w:t>）</w:t>
            </w:r>
          </w:p>
        </w:tc>
        <w:tc>
          <w:tcPr>
            <w:tcW w:w="1342" w:type="pct"/>
            <w:vAlign w:val="center"/>
          </w:tcPr>
          <w:p w14:paraId="1F719EE3">
            <w:pPr>
              <w:rPr>
                <w:sz w:val="20"/>
                <w:szCs w:val="22"/>
              </w:rPr>
            </w:pPr>
            <w:r>
              <w:rPr>
                <w:rFonts w:hint="eastAsia"/>
                <w:sz w:val="20"/>
                <w:szCs w:val="22"/>
              </w:rPr>
              <w:t>无</w:t>
            </w:r>
          </w:p>
        </w:tc>
      </w:tr>
      <w:tr w14:paraId="03393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135" w:type="pct"/>
            <w:vAlign w:val="center"/>
          </w:tcPr>
          <w:p w14:paraId="45022723">
            <w:pPr>
              <w:rPr>
                <w:sz w:val="20"/>
                <w:szCs w:val="22"/>
              </w:rPr>
            </w:pPr>
            <w:r>
              <w:rPr>
                <w:rFonts w:hint="eastAsia"/>
                <w:sz w:val="20"/>
                <w:szCs w:val="22"/>
              </w:rPr>
              <w:t>备件先行</w:t>
            </w:r>
          </w:p>
        </w:tc>
        <w:tc>
          <w:tcPr>
            <w:tcW w:w="1042" w:type="pct"/>
            <w:vAlign w:val="center"/>
          </w:tcPr>
          <w:p w14:paraId="4FC55CDC">
            <w:pPr>
              <w:rPr>
                <w:sz w:val="20"/>
                <w:szCs w:val="22"/>
              </w:rPr>
            </w:pPr>
            <w:r>
              <w:rPr>
                <w:rFonts w:hint="eastAsia"/>
                <w:sz w:val="20"/>
                <w:szCs w:val="22"/>
              </w:rPr>
              <w:t>7×10×ND</w:t>
            </w:r>
          </w:p>
        </w:tc>
        <w:tc>
          <w:tcPr>
            <w:tcW w:w="1479" w:type="pct"/>
            <w:vAlign w:val="center"/>
          </w:tcPr>
          <w:p w14:paraId="3EB7A59F">
            <w:pPr>
              <w:rPr>
                <w:sz w:val="20"/>
                <w:szCs w:val="22"/>
              </w:rPr>
            </w:pPr>
            <w:r>
              <w:rPr>
                <w:rFonts w:hint="eastAsia"/>
                <w:sz w:val="20"/>
                <w:szCs w:val="22"/>
              </w:rPr>
              <w:t>7×10：</w:t>
            </w:r>
            <w:r>
              <w:rPr>
                <w:sz w:val="20"/>
                <w:szCs w:val="22"/>
              </w:rPr>
              <w:t>周一至周</w:t>
            </w:r>
            <w:r>
              <w:rPr>
                <w:rFonts w:hint="eastAsia"/>
                <w:sz w:val="20"/>
                <w:szCs w:val="22"/>
              </w:rPr>
              <w:t>日,</w:t>
            </w:r>
            <w:r>
              <w:rPr>
                <w:sz w:val="20"/>
                <w:szCs w:val="22"/>
              </w:rPr>
              <w:t xml:space="preserve"> 0</w:t>
            </w:r>
            <w:r>
              <w:rPr>
                <w:rFonts w:hint="eastAsia"/>
                <w:sz w:val="20"/>
                <w:szCs w:val="22"/>
              </w:rPr>
              <w:t>8</w:t>
            </w:r>
            <w:r>
              <w:rPr>
                <w:sz w:val="20"/>
                <w:szCs w:val="22"/>
              </w:rPr>
              <w:t>:00～18:00</w:t>
            </w:r>
            <w:r>
              <w:rPr>
                <w:rFonts w:hint="eastAsia"/>
                <w:sz w:val="20"/>
                <w:szCs w:val="22"/>
              </w:rPr>
              <w:t>，ND到达：下一日到达</w:t>
            </w:r>
          </w:p>
        </w:tc>
        <w:tc>
          <w:tcPr>
            <w:tcW w:w="1342" w:type="pct"/>
            <w:vAlign w:val="center"/>
          </w:tcPr>
          <w:p w14:paraId="0AC2EC84">
            <w:pPr>
              <w:rPr>
                <w:sz w:val="20"/>
                <w:szCs w:val="22"/>
              </w:rPr>
            </w:pPr>
          </w:p>
        </w:tc>
      </w:tr>
      <w:tr w14:paraId="7D481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135" w:type="pct"/>
            <w:vAlign w:val="center"/>
          </w:tcPr>
          <w:p w14:paraId="719391CC">
            <w:pPr>
              <w:rPr>
                <w:sz w:val="20"/>
                <w:szCs w:val="22"/>
              </w:rPr>
            </w:pPr>
            <w:r>
              <w:rPr>
                <w:rFonts w:hint="eastAsia"/>
                <w:sz w:val="20"/>
                <w:szCs w:val="22"/>
              </w:rPr>
              <w:t>现场工程师硬件更换/现场问题处理</w:t>
            </w:r>
          </w:p>
        </w:tc>
        <w:tc>
          <w:tcPr>
            <w:tcW w:w="1042" w:type="pct"/>
            <w:vAlign w:val="center"/>
          </w:tcPr>
          <w:p w14:paraId="31C35D6C">
            <w:pPr>
              <w:rPr>
                <w:sz w:val="20"/>
                <w:szCs w:val="22"/>
              </w:rPr>
            </w:pPr>
            <w:r>
              <w:rPr>
                <w:rFonts w:hint="eastAsia"/>
                <w:sz w:val="20"/>
                <w:szCs w:val="22"/>
              </w:rPr>
              <w:t>7×10×ND</w:t>
            </w:r>
          </w:p>
        </w:tc>
        <w:tc>
          <w:tcPr>
            <w:tcW w:w="1479" w:type="pct"/>
            <w:vAlign w:val="center"/>
          </w:tcPr>
          <w:p w14:paraId="5B097E34">
            <w:pPr>
              <w:rPr>
                <w:sz w:val="20"/>
                <w:szCs w:val="22"/>
              </w:rPr>
            </w:pPr>
            <w:r>
              <w:rPr>
                <w:rFonts w:hint="eastAsia"/>
                <w:sz w:val="20"/>
                <w:szCs w:val="22"/>
              </w:rPr>
              <w:t>7×10：</w:t>
            </w:r>
            <w:r>
              <w:rPr>
                <w:sz w:val="20"/>
                <w:szCs w:val="22"/>
              </w:rPr>
              <w:t>周一至周</w:t>
            </w:r>
            <w:r>
              <w:rPr>
                <w:rFonts w:hint="eastAsia"/>
                <w:sz w:val="20"/>
                <w:szCs w:val="22"/>
              </w:rPr>
              <w:t>日,</w:t>
            </w:r>
            <w:r>
              <w:rPr>
                <w:sz w:val="20"/>
                <w:szCs w:val="22"/>
              </w:rPr>
              <w:t xml:space="preserve"> 0</w:t>
            </w:r>
            <w:r>
              <w:rPr>
                <w:rFonts w:hint="eastAsia"/>
                <w:sz w:val="20"/>
                <w:szCs w:val="22"/>
              </w:rPr>
              <w:t>8</w:t>
            </w:r>
            <w:r>
              <w:rPr>
                <w:sz w:val="20"/>
                <w:szCs w:val="22"/>
              </w:rPr>
              <w:t>:00～18:00</w:t>
            </w:r>
            <w:r>
              <w:rPr>
                <w:rFonts w:hint="eastAsia"/>
                <w:sz w:val="20"/>
                <w:szCs w:val="22"/>
              </w:rPr>
              <w:t>，ND到达：下一日到达</w:t>
            </w:r>
          </w:p>
        </w:tc>
        <w:tc>
          <w:tcPr>
            <w:tcW w:w="1342" w:type="pct"/>
            <w:vAlign w:val="center"/>
          </w:tcPr>
          <w:p w14:paraId="27B6A3B2">
            <w:pPr>
              <w:rPr>
                <w:sz w:val="20"/>
                <w:szCs w:val="22"/>
              </w:rPr>
            </w:pPr>
          </w:p>
        </w:tc>
      </w:tr>
    </w:tbl>
    <w:p w14:paraId="1EBC1F37">
      <w:pPr>
        <w:rPr>
          <w:rFonts w:ascii="宋体" w:hAnsi="宋体" w:cs="Arial"/>
        </w:rPr>
      </w:pPr>
    </w:p>
    <w:p w14:paraId="2863B02B"/>
    <w:p w14:paraId="432BE3B9">
      <w:pPr>
        <w:numPr>
          <w:ilvl w:val="0"/>
          <w:numId w:val="2"/>
        </w:numPr>
        <w:spacing w:line="360" w:lineRule="auto"/>
        <w:ind w:left="0" w:leftChars="0" w:firstLine="420" w:firstLineChars="0"/>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服务列表</w:t>
      </w:r>
    </w:p>
    <w:tbl>
      <w:tblPr>
        <w:tblStyle w:val="13"/>
        <w:tblW w:w="4384" w:type="pct"/>
        <w:jc w:val="center"/>
        <w:shd w:val="clear" w:color="auto" w:fill="FFFFFF" w:themeFill="background1"/>
        <w:tblLayout w:type="fixed"/>
        <w:tblCellMar>
          <w:top w:w="0" w:type="dxa"/>
          <w:left w:w="108" w:type="dxa"/>
          <w:bottom w:w="0" w:type="dxa"/>
          <w:right w:w="108" w:type="dxa"/>
        </w:tblCellMar>
      </w:tblPr>
      <w:tblGrid>
        <w:gridCol w:w="707"/>
        <w:gridCol w:w="1200"/>
        <w:gridCol w:w="4293"/>
        <w:gridCol w:w="514"/>
        <w:gridCol w:w="758"/>
      </w:tblGrid>
      <w:tr w14:paraId="5AB06352">
        <w:tblPrEx>
          <w:tblCellMar>
            <w:top w:w="0" w:type="dxa"/>
            <w:left w:w="108" w:type="dxa"/>
            <w:bottom w:w="0" w:type="dxa"/>
            <w:right w:w="108" w:type="dxa"/>
          </w:tblCellMar>
        </w:tblPrEx>
        <w:trPr>
          <w:trHeight w:val="476" w:hRule="atLeast"/>
          <w:jc w:val="center"/>
        </w:trPr>
        <w:tc>
          <w:tcPr>
            <w:tcW w:w="4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6979D1F">
            <w:pPr>
              <w:widowControl/>
              <w:jc w:val="center"/>
              <w:textAlignment w:val="center"/>
              <w:rPr>
                <w:rFonts w:ascii="宋体" w:hAnsi="宋体" w:cs="宋体"/>
                <w:b/>
                <w:bCs/>
                <w:color w:val="000000"/>
              </w:rPr>
            </w:pPr>
            <w:r>
              <w:rPr>
                <w:rFonts w:hint="eastAsia" w:ascii="宋体" w:hAnsi="宋体" w:cs="宋体"/>
                <w:b/>
                <w:bCs/>
                <w:color w:val="000000"/>
                <w:kern w:val="0"/>
                <w:lang w:bidi="ar"/>
              </w:rPr>
              <w:t>序号</w:t>
            </w:r>
          </w:p>
        </w:tc>
        <w:tc>
          <w:tcPr>
            <w:tcW w:w="80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D0D7B3D">
            <w:pPr>
              <w:widowControl/>
              <w:textAlignment w:val="center"/>
              <w:rPr>
                <w:rFonts w:ascii="宋体" w:hAnsi="宋体" w:cs="宋体"/>
                <w:b/>
                <w:bCs/>
                <w:color w:val="000000"/>
              </w:rPr>
            </w:pPr>
            <w:r>
              <w:rPr>
                <w:rFonts w:hint="eastAsia" w:ascii="宋体" w:hAnsi="宋体" w:cs="宋体"/>
                <w:b/>
                <w:bCs/>
                <w:color w:val="000000"/>
                <w:kern w:val="0"/>
                <w:lang w:bidi="ar"/>
              </w:rPr>
              <w:t>设备名称</w:t>
            </w:r>
          </w:p>
        </w:tc>
        <w:tc>
          <w:tcPr>
            <w:tcW w:w="28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9BC1E16">
            <w:pPr>
              <w:widowControl/>
              <w:textAlignment w:val="center"/>
              <w:rPr>
                <w:rFonts w:ascii="宋体" w:hAnsi="宋体" w:cs="宋体"/>
                <w:b/>
                <w:bCs/>
                <w:color w:val="000000"/>
              </w:rPr>
            </w:pPr>
            <w:r>
              <w:rPr>
                <w:rFonts w:hint="eastAsia" w:ascii="宋体" w:hAnsi="宋体" w:cs="宋体"/>
                <w:b/>
                <w:bCs/>
                <w:color w:val="000000"/>
                <w:kern w:val="0"/>
                <w:lang w:bidi="ar"/>
              </w:rPr>
              <w:t>描述</w:t>
            </w:r>
          </w:p>
        </w:tc>
        <w:tc>
          <w:tcPr>
            <w:tcW w:w="3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CA47E91">
            <w:pPr>
              <w:widowControl/>
              <w:textAlignment w:val="center"/>
              <w:rPr>
                <w:rFonts w:ascii="宋体" w:hAnsi="宋体" w:cs="宋体"/>
                <w:b/>
                <w:bCs/>
                <w:color w:val="000000"/>
              </w:rPr>
            </w:pPr>
            <w:r>
              <w:rPr>
                <w:rFonts w:hint="eastAsia" w:ascii="宋体" w:hAnsi="宋体" w:cs="宋体"/>
                <w:b/>
                <w:bCs/>
                <w:color w:val="000000"/>
                <w:kern w:val="0"/>
                <w:lang w:bidi="ar"/>
              </w:rPr>
              <w:t>数量</w:t>
            </w:r>
          </w:p>
        </w:tc>
        <w:tc>
          <w:tcPr>
            <w:tcW w:w="5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C106FD3">
            <w:pPr>
              <w:widowControl/>
              <w:jc w:val="center"/>
              <w:textAlignment w:val="center"/>
              <w:rPr>
                <w:rFonts w:ascii="宋体" w:hAnsi="宋体" w:cs="宋体"/>
                <w:b/>
                <w:bCs/>
                <w:color w:val="000000"/>
              </w:rPr>
            </w:pPr>
            <w:r>
              <w:rPr>
                <w:rFonts w:hint="eastAsia" w:ascii="宋体" w:hAnsi="宋体" w:cs="宋体"/>
                <w:b/>
                <w:bCs/>
                <w:color w:val="000000"/>
                <w:kern w:val="0"/>
                <w:lang w:bidi="ar"/>
              </w:rPr>
              <w:t>维保时间</w:t>
            </w:r>
          </w:p>
        </w:tc>
      </w:tr>
      <w:tr w14:paraId="2B24F864">
        <w:tblPrEx>
          <w:tblCellMar>
            <w:top w:w="0" w:type="dxa"/>
            <w:left w:w="108" w:type="dxa"/>
            <w:bottom w:w="0" w:type="dxa"/>
            <w:right w:w="108" w:type="dxa"/>
          </w:tblCellMar>
        </w:tblPrEx>
        <w:trPr>
          <w:trHeight w:val="363" w:hRule="atLeast"/>
          <w:jc w:val="center"/>
        </w:trPr>
        <w:tc>
          <w:tcPr>
            <w:tcW w:w="47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813C65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80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77713A">
            <w:pPr>
              <w:widowControl/>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OceanStor Dorado 5500 V6</w:t>
            </w:r>
          </w:p>
        </w:tc>
        <w:tc>
          <w:tcPr>
            <w:tcW w:w="287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A4D1E8">
            <w:pPr>
              <w:widowControl/>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OceanStor Dorado 5500 V6(2U,双控,NVMe,交流\240V高压直流,512GB 缓存,4*100Gb RDMA,36*Palm,SPE62C0236,适用于1.2m深机柜)_Hi-Care高级服务标准+ Dorado 5500 V6 控制框_13月_续保</w:t>
            </w:r>
          </w:p>
        </w:tc>
        <w:tc>
          <w:tcPr>
            <w:tcW w:w="3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ABAE4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59D145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1年</w:t>
            </w:r>
          </w:p>
        </w:tc>
      </w:tr>
      <w:tr w14:paraId="59B56C90">
        <w:tblPrEx>
          <w:tblCellMar>
            <w:top w:w="0" w:type="dxa"/>
            <w:left w:w="108" w:type="dxa"/>
            <w:bottom w:w="0" w:type="dxa"/>
            <w:right w:w="108" w:type="dxa"/>
          </w:tblCellMar>
        </w:tblPrEx>
        <w:trPr>
          <w:trHeight w:val="360" w:hRule="atLeast"/>
          <w:jc w:val="center"/>
        </w:trPr>
        <w:tc>
          <w:tcPr>
            <w:tcW w:w="47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5D85C84">
            <w:pPr>
              <w:jc w:val="center"/>
              <w:rPr>
                <w:rFonts w:hint="eastAsia" w:ascii="宋体" w:hAnsi="宋体" w:eastAsia="宋体" w:cs="宋体"/>
                <w:color w:val="000000"/>
                <w:sz w:val="20"/>
                <w:szCs w:val="20"/>
              </w:rPr>
            </w:p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A63482">
            <w:pPr>
              <w:rPr>
                <w:rFonts w:hint="eastAsia" w:ascii="宋体" w:hAnsi="宋体" w:eastAsia="宋体" w:cs="宋体"/>
                <w:color w:val="000000"/>
                <w:sz w:val="20"/>
                <w:szCs w:val="20"/>
              </w:rPr>
            </w:pPr>
          </w:p>
        </w:tc>
        <w:tc>
          <w:tcPr>
            <w:tcW w:w="287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50198B">
            <w:pPr>
              <w:widowControl/>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仲裁服务器(2U,交流\240V高压直流,2*32GB缓存,含OS,TaiShan 2280 V2/K22R-02)_Hi-Care高级服务标准+ 仲裁服务器2U_13月_续保</w:t>
            </w:r>
          </w:p>
        </w:tc>
        <w:tc>
          <w:tcPr>
            <w:tcW w:w="3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E50D1B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902ECF7">
            <w:pPr>
              <w:jc w:val="center"/>
              <w:rPr>
                <w:rFonts w:hint="eastAsia" w:ascii="宋体" w:hAnsi="宋体" w:eastAsia="宋体" w:cs="宋体"/>
                <w:color w:val="000000"/>
                <w:sz w:val="20"/>
                <w:szCs w:val="20"/>
              </w:rPr>
            </w:pPr>
          </w:p>
        </w:tc>
      </w:tr>
      <w:tr w14:paraId="69C27D60">
        <w:tblPrEx>
          <w:tblCellMar>
            <w:top w:w="0" w:type="dxa"/>
            <w:left w:w="108" w:type="dxa"/>
            <w:bottom w:w="0" w:type="dxa"/>
            <w:right w:w="108" w:type="dxa"/>
          </w:tblCellMar>
        </w:tblPrEx>
        <w:trPr>
          <w:trHeight w:val="360" w:hRule="atLeast"/>
          <w:jc w:val="center"/>
        </w:trPr>
        <w:tc>
          <w:tcPr>
            <w:tcW w:w="47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0B343FB">
            <w:pPr>
              <w:jc w:val="center"/>
              <w:rPr>
                <w:rFonts w:hint="eastAsia" w:ascii="宋体" w:hAnsi="宋体" w:eastAsia="宋体" w:cs="宋体"/>
                <w:color w:val="000000"/>
                <w:sz w:val="20"/>
                <w:szCs w:val="20"/>
              </w:rPr>
            </w:p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BB05CA">
            <w:pPr>
              <w:rPr>
                <w:rFonts w:hint="eastAsia" w:ascii="宋体" w:hAnsi="宋体" w:eastAsia="宋体" w:cs="宋体"/>
                <w:color w:val="000000"/>
                <w:sz w:val="20"/>
                <w:szCs w:val="20"/>
              </w:rPr>
            </w:pPr>
          </w:p>
        </w:tc>
        <w:tc>
          <w:tcPr>
            <w:tcW w:w="287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8ABA87">
            <w:pPr>
              <w:widowControl/>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3.84TB SSD NVMe Palm硬盘单元(7")_Hi-Care高级服务标准+ Dorado 5X00/6X00 3.2TB-4TB SSD_13月_续保</w:t>
            </w:r>
          </w:p>
        </w:tc>
        <w:tc>
          <w:tcPr>
            <w:tcW w:w="3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B9C6E3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24</w:t>
            </w: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60E6DC9">
            <w:pPr>
              <w:jc w:val="center"/>
              <w:rPr>
                <w:rFonts w:hint="eastAsia" w:ascii="宋体" w:hAnsi="宋体" w:eastAsia="宋体" w:cs="宋体"/>
                <w:color w:val="000000"/>
                <w:sz w:val="20"/>
                <w:szCs w:val="20"/>
              </w:rPr>
            </w:pPr>
          </w:p>
        </w:tc>
      </w:tr>
      <w:tr w14:paraId="1CA2CED0">
        <w:tblPrEx>
          <w:tblCellMar>
            <w:top w:w="0" w:type="dxa"/>
            <w:left w:w="108" w:type="dxa"/>
            <w:bottom w:w="0" w:type="dxa"/>
            <w:right w:w="108" w:type="dxa"/>
          </w:tblCellMar>
        </w:tblPrEx>
        <w:trPr>
          <w:trHeight w:val="360" w:hRule="atLeast"/>
          <w:jc w:val="center"/>
        </w:trPr>
        <w:tc>
          <w:tcPr>
            <w:tcW w:w="47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F2FA14">
            <w:pPr>
              <w:jc w:val="center"/>
              <w:rPr>
                <w:rFonts w:hint="eastAsia" w:ascii="宋体" w:hAnsi="宋体" w:eastAsia="宋体" w:cs="宋体"/>
                <w:color w:val="000000"/>
                <w:sz w:val="20"/>
                <w:szCs w:val="20"/>
              </w:rPr>
            </w:p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D40639">
            <w:pPr>
              <w:rPr>
                <w:rFonts w:hint="eastAsia" w:ascii="宋体" w:hAnsi="宋体" w:eastAsia="宋体" w:cs="宋体"/>
                <w:color w:val="000000"/>
                <w:sz w:val="20"/>
                <w:szCs w:val="20"/>
              </w:rPr>
            </w:pPr>
          </w:p>
        </w:tc>
        <w:tc>
          <w:tcPr>
            <w:tcW w:w="287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B07631">
            <w:pPr>
              <w:widowControl/>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基础包使用许可(含DeviceManager,SmartThin,SmartMigration,HyperSnap,HyperReplication,HyperClone,SmartQoS,SmartErase,eService)_Hi-Care应用软件升级支持服务 OceanStor Dorado 5500 V6 基础包使用许可_12月_续保</w:t>
            </w:r>
          </w:p>
        </w:tc>
        <w:tc>
          <w:tcPr>
            <w:tcW w:w="3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AA61B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F8E9F32">
            <w:pPr>
              <w:jc w:val="center"/>
              <w:rPr>
                <w:rFonts w:hint="eastAsia" w:ascii="宋体" w:hAnsi="宋体" w:eastAsia="宋体" w:cs="宋体"/>
                <w:color w:val="000000"/>
                <w:sz w:val="20"/>
                <w:szCs w:val="20"/>
              </w:rPr>
            </w:pPr>
          </w:p>
        </w:tc>
      </w:tr>
      <w:tr w14:paraId="76BF72D6">
        <w:tblPrEx>
          <w:tblCellMar>
            <w:top w:w="0" w:type="dxa"/>
            <w:left w:w="108" w:type="dxa"/>
            <w:bottom w:w="0" w:type="dxa"/>
            <w:right w:w="108" w:type="dxa"/>
          </w:tblCellMar>
        </w:tblPrEx>
        <w:trPr>
          <w:trHeight w:val="360" w:hRule="atLeast"/>
          <w:jc w:val="center"/>
        </w:trPr>
        <w:tc>
          <w:tcPr>
            <w:tcW w:w="47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9661784">
            <w:pPr>
              <w:jc w:val="center"/>
              <w:rPr>
                <w:rFonts w:hint="eastAsia" w:ascii="宋体" w:hAnsi="宋体" w:eastAsia="宋体" w:cs="宋体"/>
                <w:color w:val="000000"/>
                <w:sz w:val="20"/>
                <w:szCs w:val="20"/>
              </w:rPr>
            </w:p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AFB893">
            <w:pPr>
              <w:rPr>
                <w:rFonts w:hint="eastAsia" w:ascii="宋体" w:hAnsi="宋体" w:eastAsia="宋体" w:cs="宋体"/>
                <w:color w:val="000000"/>
                <w:sz w:val="20"/>
                <w:szCs w:val="20"/>
              </w:rPr>
            </w:pPr>
          </w:p>
        </w:tc>
        <w:tc>
          <w:tcPr>
            <w:tcW w:w="287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4AD142">
            <w:pPr>
              <w:widowControl/>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主机多路径软件许可_Hi-Care应用软件升级支持服务 OceanStor Dorado 5500 V6-主机多路径软件许可_12月_续保</w:t>
            </w:r>
          </w:p>
        </w:tc>
        <w:tc>
          <w:tcPr>
            <w:tcW w:w="3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40723C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1C9DF4F">
            <w:pPr>
              <w:jc w:val="center"/>
              <w:rPr>
                <w:rFonts w:hint="eastAsia" w:ascii="宋体" w:hAnsi="宋体" w:eastAsia="宋体" w:cs="宋体"/>
                <w:color w:val="000000"/>
                <w:sz w:val="20"/>
                <w:szCs w:val="20"/>
              </w:rPr>
            </w:pPr>
          </w:p>
        </w:tc>
      </w:tr>
      <w:tr w14:paraId="0E74D9C9">
        <w:tblPrEx>
          <w:tblCellMar>
            <w:top w:w="0" w:type="dxa"/>
            <w:left w:w="108" w:type="dxa"/>
            <w:bottom w:w="0" w:type="dxa"/>
            <w:right w:w="108" w:type="dxa"/>
          </w:tblCellMar>
        </w:tblPrEx>
        <w:trPr>
          <w:trHeight w:val="360" w:hRule="atLeast"/>
          <w:jc w:val="center"/>
        </w:trPr>
        <w:tc>
          <w:tcPr>
            <w:tcW w:w="47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440CBFE">
            <w:pPr>
              <w:jc w:val="center"/>
              <w:rPr>
                <w:rFonts w:hint="eastAsia" w:ascii="宋体" w:hAnsi="宋体" w:eastAsia="宋体" w:cs="宋体"/>
                <w:color w:val="000000"/>
                <w:sz w:val="20"/>
                <w:szCs w:val="20"/>
              </w:rPr>
            </w:p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CBD179">
            <w:pPr>
              <w:rPr>
                <w:rFonts w:hint="eastAsia" w:ascii="宋体" w:hAnsi="宋体" w:eastAsia="宋体" w:cs="宋体"/>
                <w:color w:val="000000"/>
                <w:sz w:val="20"/>
                <w:szCs w:val="20"/>
              </w:rPr>
            </w:pPr>
          </w:p>
        </w:tc>
        <w:tc>
          <w:tcPr>
            <w:tcW w:w="287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A7A0F6">
            <w:pPr>
              <w:widowControl/>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HyperCDP使用许可_Hi-Care应用软件升级支持服务 OceanStor Dorado 5500 V6-HyperCDP使用许可_12月_续保</w:t>
            </w:r>
          </w:p>
        </w:tc>
        <w:tc>
          <w:tcPr>
            <w:tcW w:w="3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F9106D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C01AD2">
            <w:pPr>
              <w:jc w:val="center"/>
              <w:rPr>
                <w:rFonts w:hint="eastAsia" w:ascii="宋体" w:hAnsi="宋体" w:eastAsia="宋体" w:cs="宋体"/>
                <w:color w:val="000000"/>
                <w:sz w:val="20"/>
                <w:szCs w:val="20"/>
              </w:rPr>
            </w:pPr>
          </w:p>
        </w:tc>
      </w:tr>
      <w:tr w14:paraId="0332C8A7">
        <w:tblPrEx>
          <w:tblCellMar>
            <w:top w:w="0" w:type="dxa"/>
            <w:left w:w="108" w:type="dxa"/>
            <w:bottom w:w="0" w:type="dxa"/>
            <w:right w:w="108" w:type="dxa"/>
          </w:tblCellMar>
        </w:tblPrEx>
        <w:trPr>
          <w:trHeight w:val="360" w:hRule="atLeast"/>
          <w:jc w:val="center"/>
        </w:trPr>
        <w:tc>
          <w:tcPr>
            <w:tcW w:w="47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D830615">
            <w:pPr>
              <w:jc w:val="center"/>
              <w:rPr>
                <w:rFonts w:hint="eastAsia" w:ascii="宋体" w:hAnsi="宋体" w:eastAsia="宋体" w:cs="宋体"/>
                <w:color w:val="000000"/>
                <w:sz w:val="20"/>
                <w:szCs w:val="20"/>
              </w:rPr>
            </w:p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1A404E">
            <w:pPr>
              <w:rPr>
                <w:rFonts w:hint="eastAsia" w:ascii="宋体" w:hAnsi="宋体" w:eastAsia="宋体" w:cs="宋体"/>
                <w:color w:val="000000"/>
                <w:sz w:val="20"/>
                <w:szCs w:val="20"/>
              </w:rPr>
            </w:pPr>
          </w:p>
        </w:tc>
        <w:tc>
          <w:tcPr>
            <w:tcW w:w="287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66BB80">
            <w:pPr>
              <w:widowControl/>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阵列双活使用许可_Hi-Care应用软件升级支持服务 OceanStor Dorado 5500 V6-阵列双活使用许可_12月_续保</w:t>
            </w:r>
          </w:p>
        </w:tc>
        <w:tc>
          <w:tcPr>
            <w:tcW w:w="3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5ADCA2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917C759">
            <w:pPr>
              <w:jc w:val="center"/>
              <w:rPr>
                <w:rFonts w:hint="eastAsia" w:ascii="宋体" w:hAnsi="宋体" w:eastAsia="宋体" w:cs="宋体"/>
                <w:color w:val="000000"/>
                <w:sz w:val="20"/>
                <w:szCs w:val="20"/>
              </w:rPr>
            </w:pPr>
          </w:p>
        </w:tc>
      </w:tr>
      <w:tr w14:paraId="012FC869">
        <w:tblPrEx>
          <w:tblCellMar>
            <w:top w:w="0" w:type="dxa"/>
            <w:left w:w="108" w:type="dxa"/>
            <w:bottom w:w="0" w:type="dxa"/>
            <w:right w:w="108" w:type="dxa"/>
          </w:tblCellMar>
        </w:tblPrEx>
        <w:trPr>
          <w:trHeight w:val="360" w:hRule="atLeast"/>
          <w:jc w:val="center"/>
        </w:trPr>
        <w:tc>
          <w:tcPr>
            <w:tcW w:w="47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4F43B6">
            <w:pPr>
              <w:jc w:val="center"/>
              <w:rPr>
                <w:rFonts w:hint="eastAsia" w:ascii="宋体" w:hAnsi="宋体" w:eastAsia="宋体" w:cs="宋体"/>
                <w:color w:val="000000"/>
                <w:sz w:val="20"/>
                <w:szCs w:val="20"/>
              </w:rPr>
            </w:pPr>
          </w:p>
        </w:tc>
        <w:tc>
          <w:tcPr>
            <w:tcW w:w="80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799D52">
            <w:pPr>
              <w:widowControl/>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CE5880-48T6Q-EI</w:t>
            </w:r>
          </w:p>
        </w:tc>
        <w:tc>
          <w:tcPr>
            <w:tcW w:w="287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735E98">
            <w:pPr>
              <w:widowControl/>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CE5880-48T6Q-EI交换机(44*GE电,4*10GE电,6*40G QSFP+,2*交流电源,端口侧进风)_Hi-Care高级服务标准+ CE5880-48T6Q_13月_续保</w:t>
            </w:r>
          </w:p>
        </w:tc>
        <w:tc>
          <w:tcPr>
            <w:tcW w:w="3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C738BE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8E7BA97">
            <w:pPr>
              <w:jc w:val="center"/>
              <w:rPr>
                <w:rFonts w:hint="eastAsia" w:ascii="宋体" w:hAnsi="宋体" w:eastAsia="宋体" w:cs="宋体"/>
                <w:color w:val="000000"/>
                <w:sz w:val="20"/>
                <w:szCs w:val="20"/>
              </w:rPr>
            </w:pPr>
          </w:p>
        </w:tc>
      </w:tr>
      <w:tr w14:paraId="1F471012">
        <w:tblPrEx>
          <w:tblCellMar>
            <w:top w:w="0" w:type="dxa"/>
            <w:left w:w="108" w:type="dxa"/>
            <w:bottom w:w="0" w:type="dxa"/>
            <w:right w:w="108" w:type="dxa"/>
          </w:tblCellMar>
        </w:tblPrEx>
        <w:trPr>
          <w:trHeight w:val="360" w:hRule="atLeast"/>
          <w:jc w:val="center"/>
        </w:trPr>
        <w:tc>
          <w:tcPr>
            <w:tcW w:w="4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F6669C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80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3FBC8C">
            <w:pPr>
              <w:widowControl/>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DCS虚拟化套件高级版</w:t>
            </w:r>
          </w:p>
        </w:tc>
        <w:tc>
          <w:tcPr>
            <w:tcW w:w="287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9AE4B4">
            <w:pPr>
              <w:widowControl/>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SnS_续签_8_S-A10038792(含华为数据中心虚拟化软件V6.0)</w:t>
            </w:r>
          </w:p>
          <w:p w14:paraId="64858793">
            <w:pPr>
              <w:widowControl/>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DCS虚拟化套件高级版-2年软件订阅与保障年费-每CPU(年费实际起止时间：2023-11-09~2025-02-15)</w:t>
            </w:r>
          </w:p>
        </w:tc>
        <w:tc>
          <w:tcPr>
            <w:tcW w:w="3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229DEB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F70B74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1年</w:t>
            </w:r>
          </w:p>
        </w:tc>
      </w:tr>
      <w:tr w14:paraId="0B8C29D4">
        <w:tblPrEx>
          <w:tblCellMar>
            <w:top w:w="0" w:type="dxa"/>
            <w:left w:w="108" w:type="dxa"/>
            <w:bottom w:w="0" w:type="dxa"/>
            <w:right w:w="108" w:type="dxa"/>
          </w:tblCellMar>
        </w:tblPrEx>
        <w:trPr>
          <w:trHeight w:val="360" w:hRule="atLeast"/>
          <w:jc w:val="center"/>
        </w:trPr>
        <w:tc>
          <w:tcPr>
            <w:tcW w:w="4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4C1A01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80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FFE7AC">
            <w:pPr>
              <w:widowControl/>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2288H V5</w:t>
            </w:r>
          </w:p>
        </w:tc>
        <w:tc>
          <w:tcPr>
            <w:tcW w:w="287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8D93DA">
            <w:pPr>
              <w:widowControl/>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Super-Care高级服务标准+</w:t>
            </w:r>
          </w:p>
        </w:tc>
        <w:tc>
          <w:tcPr>
            <w:tcW w:w="3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A3FC34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5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F80A71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1年</w:t>
            </w:r>
          </w:p>
        </w:tc>
      </w:tr>
      <w:tr w14:paraId="6879156F">
        <w:tblPrEx>
          <w:tblCellMar>
            <w:top w:w="0" w:type="dxa"/>
            <w:left w:w="108" w:type="dxa"/>
            <w:bottom w:w="0" w:type="dxa"/>
            <w:right w:w="108" w:type="dxa"/>
          </w:tblCellMar>
        </w:tblPrEx>
        <w:trPr>
          <w:trHeight w:val="360" w:hRule="atLeast"/>
          <w:jc w:val="center"/>
        </w:trPr>
        <w:tc>
          <w:tcPr>
            <w:tcW w:w="4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686454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80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513D8E">
            <w:pPr>
              <w:widowControl/>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2488H V5</w:t>
            </w:r>
          </w:p>
        </w:tc>
        <w:tc>
          <w:tcPr>
            <w:tcW w:w="287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A87E5F">
            <w:pPr>
              <w:widowControl/>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Super-Care高级服务标准+</w:t>
            </w:r>
          </w:p>
        </w:tc>
        <w:tc>
          <w:tcPr>
            <w:tcW w:w="3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AB62D0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5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A84CC2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1年</w:t>
            </w:r>
          </w:p>
        </w:tc>
      </w:tr>
    </w:tbl>
    <w:p w14:paraId="1AE5404A">
      <w:pPr>
        <w:numPr>
          <w:ilvl w:val="0"/>
          <w:numId w:val="0"/>
        </w:numPr>
        <w:spacing w:line="360" w:lineRule="auto"/>
        <w:jc w:val="left"/>
        <w:rPr>
          <w:rFonts w:hint="eastAsia" w:ascii="宋体" w:hAnsi="宋体" w:eastAsia="宋体" w:cs="宋体"/>
          <w:b/>
          <w:color w:val="000000" w:themeColor="text1"/>
          <w:sz w:val="24"/>
          <w14:textFill>
            <w14:solidFill>
              <w14:schemeClr w14:val="tx1"/>
            </w14:solidFill>
          </w14:textFill>
        </w:rPr>
      </w:pPr>
    </w:p>
    <w:p w14:paraId="1AC6CDD2">
      <w:pPr>
        <w:numPr>
          <w:ilvl w:val="0"/>
          <w:numId w:val="2"/>
        </w:numPr>
        <w:spacing w:line="360" w:lineRule="auto"/>
        <w:ind w:left="0" w:leftChars="0" w:firstLine="420" w:firstLineChars="0"/>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商务要求</w:t>
      </w:r>
    </w:p>
    <w:p w14:paraId="2A450810">
      <w:pPr>
        <w:numPr>
          <w:ilvl w:val="0"/>
          <w:numId w:val="6"/>
        </w:numPr>
        <w:ind w:left="0" w:leftChars="0" w:firstLine="420" w:firstLineChars="200"/>
        <w:rPr>
          <w:rFonts w:hint="eastAsia"/>
          <w:lang w:val="en-US" w:eastAsia="zh-CN"/>
        </w:rPr>
      </w:pPr>
      <w:r>
        <w:rPr>
          <w:rFonts w:hint="eastAsia"/>
          <w:lang w:val="en-US" w:eastAsia="zh-CN"/>
        </w:rPr>
        <w:t>维保服务人员均具备有原厂商认证或更高级别认证，并具备最少3年以上信息化售后交付维护服务经验和风险控制意识。</w:t>
      </w:r>
    </w:p>
    <w:p w14:paraId="615F9C39">
      <w:pPr>
        <w:numPr>
          <w:ilvl w:val="0"/>
          <w:numId w:val="6"/>
        </w:numPr>
        <w:ind w:left="0" w:leftChars="0" w:firstLine="420" w:firstLineChars="200"/>
        <w:rPr>
          <w:rFonts w:hint="eastAsia"/>
          <w:lang w:val="en-US" w:eastAsia="zh-CN"/>
        </w:rPr>
      </w:pPr>
      <w:r>
        <w:rPr>
          <w:rFonts w:hint="eastAsia"/>
          <w:lang w:val="en-US" w:eastAsia="zh-CN"/>
        </w:rPr>
        <w:t xml:space="preserve">本项目须取得维保设备原厂商的技术支持，须提供设备原厂商出具的项目授权函及售后服务承诺函原件或扫描。 </w:t>
      </w:r>
    </w:p>
    <w:p w14:paraId="6281621C">
      <w:pPr>
        <w:numPr>
          <w:ilvl w:val="0"/>
          <w:numId w:val="6"/>
        </w:numPr>
        <w:ind w:left="0" w:leftChars="0" w:firstLine="420" w:firstLineChars="200"/>
        <w:rPr>
          <w:rFonts w:hint="eastAsia"/>
          <w:lang w:val="en-US" w:eastAsia="zh-CN"/>
        </w:rPr>
      </w:pPr>
      <w:r>
        <w:rPr>
          <w:rFonts w:hint="eastAsia"/>
          <w:lang w:val="en-US" w:eastAsia="zh-CN"/>
        </w:rPr>
        <w:t>本项目合同签订后提供原厂商服务启动函。</w:t>
      </w:r>
    </w:p>
    <w:p w14:paraId="5EF7200F"/>
    <w:p w14:paraId="6A8231BB"/>
    <w:p w14:paraId="79F0441D"/>
    <w:p w14:paraId="11CD4B83"/>
    <w:p w14:paraId="75EF47D9">
      <w:pPr>
        <w:numPr>
          <w:ilvl w:val="0"/>
          <w:numId w:val="2"/>
        </w:numPr>
        <w:spacing w:line="360" w:lineRule="auto"/>
        <w:ind w:left="0" w:leftChars="0" w:firstLine="420" w:firstLineChars="0"/>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评审标准</w:t>
      </w:r>
    </w:p>
    <w:p w14:paraId="0C446736">
      <w:pPr>
        <w:spacing w:line="340" w:lineRule="exact"/>
        <w:ind w:firstLine="420" w:firstLineChars="200"/>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评审依据：评审小组将以磋商响应文件为评审依据，对供应商的报价、商务、技术要求等方面内容按百分制打分。（计分方法按四舍五</w:t>
      </w:r>
      <w:r>
        <w:rPr>
          <w:rFonts w:hint="eastAsia" w:ascii="宋体" w:hAnsi="宋体" w:eastAsia="宋体" w:cs="宋体"/>
          <w:bCs/>
          <w:color w:val="000000" w:themeColor="text1"/>
          <w:sz w:val="18"/>
          <w:szCs w:val="18"/>
          <w14:textFill>
            <w14:solidFill>
              <w14:schemeClr w14:val="tx1"/>
            </w14:solidFill>
          </w14:textFill>
        </w:rPr>
        <w:t>入取至百分位）</w:t>
      </w:r>
    </w:p>
    <w:tbl>
      <w:tblPr>
        <w:tblStyle w:val="1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886"/>
        <w:gridCol w:w="969"/>
        <w:gridCol w:w="6878"/>
      </w:tblGrid>
      <w:tr w14:paraId="4F338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3" w:type="dxa"/>
            <w:gridSpan w:val="2"/>
            <w:tcBorders>
              <w:top w:val="single" w:color="auto" w:sz="4" w:space="0"/>
              <w:left w:val="single" w:color="auto" w:sz="4" w:space="0"/>
              <w:bottom w:val="single" w:color="auto" w:sz="4" w:space="0"/>
              <w:right w:val="single" w:color="auto" w:sz="4" w:space="0"/>
            </w:tcBorders>
            <w:noWrap/>
            <w:vAlign w:val="center"/>
          </w:tcPr>
          <w:p w14:paraId="218F3F41">
            <w:pPr>
              <w:adjustRightInd w:val="0"/>
              <w:jc w:val="center"/>
              <w:textAlignment w:val="baseline"/>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序号</w:t>
            </w:r>
          </w:p>
        </w:tc>
        <w:tc>
          <w:tcPr>
            <w:tcW w:w="969" w:type="dxa"/>
            <w:tcBorders>
              <w:top w:val="single" w:color="auto" w:sz="4" w:space="0"/>
              <w:left w:val="single" w:color="auto" w:sz="4" w:space="0"/>
              <w:bottom w:val="single" w:color="auto" w:sz="4" w:space="0"/>
              <w:right w:val="single" w:color="auto" w:sz="4" w:space="0"/>
            </w:tcBorders>
            <w:noWrap/>
            <w:vAlign w:val="center"/>
          </w:tcPr>
          <w:p w14:paraId="666291B4">
            <w:pPr>
              <w:adjustRightInd w:val="0"/>
              <w:jc w:val="center"/>
              <w:textAlignment w:val="baseline"/>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评分因素</w:t>
            </w:r>
          </w:p>
        </w:tc>
        <w:tc>
          <w:tcPr>
            <w:tcW w:w="6878" w:type="dxa"/>
            <w:tcBorders>
              <w:top w:val="single" w:color="auto" w:sz="4" w:space="0"/>
              <w:left w:val="single" w:color="auto" w:sz="4" w:space="0"/>
              <w:bottom w:val="single" w:color="auto" w:sz="4" w:space="0"/>
              <w:right w:val="single" w:color="auto" w:sz="4" w:space="0"/>
            </w:tcBorders>
            <w:noWrap/>
            <w:vAlign w:val="center"/>
          </w:tcPr>
          <w:p w14:paraId="39595404">
            <w:pPr>
              <w:adjustRightInd w:val="0"/>
              <w:jc w:val="center"/>
              <w:textAlignment w:val="baseline"/>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评分标准</w:t>
            </w:r>
          </w:p>
        </w:tc>
      </w:tr>
      <w:tr w14:paraId="4D196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dxa"/>
            <w:tcBorders>
              <w:top w:val="single" w:color="auto" w:sz="4" w:space="0"/>
              <w:left w:val="single" w:color="auto" w:sz="4" w:space="0"/>
              <w:bottom w:val="single" w:color="auto" w:sz="4" w:space="0"/>
              <w:right w:val="single" w:color="auto" w:sz="4" w:space="0"/>
            </w:tcBorders>
            <w:noWrap/>
            <w:vAlign w:val="center"/>
          </w:tcPr>
          <w:p w14:paraId="6A1703F9">
            <w:pPr>
              <w:adjustRightInd w:val="0"/>
              <w:jc w:val="center"/>
              <w:textAlignment w:val="baseline"/>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w:t>
            </w:r>
          </w:p>
        </w:tc>
        <w:tc>
          <w:tcPr>
            <w:tcW w:w="886" w:type="dxa"/>
            <w:tcBorders>
              <w:top w:val="single" w:color="auto" w:sz="4" w:space="0"/>
              <w:left w:val="single" w:color="auto" w:sz="4" w:space="0"/>
              <w:bottom w:val="single" w:color="auto" w:sz="4" w:space="0"/>
              <w:right w:val="single" w:color="auto" w:sz="4" w:space="0"/>
            </w:tcBorders>
            <w:noWrap/>
            <w:vAlign w:val="center"/>
          </w:tcPr>
          <w:p w14:paraId="65E35D7D">
            <w:pPr>
              <w:adjustRightInd w:val="0"/>
              <w:jc w:val="center"/>
              <w:textAlignment w:val="baseline"/>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价格分</w:t>
            </w:r>
          </w:p>
          <w:p w14:paraId="2C2422C5">
            <w:pPr>
              <w:adjustRightInd w:val="0"/>
              <w:jc w:val="center"/>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w:t>
            </w:r>
            <w:r>
              <w:rPr>
                <w:rFonts w:hint="eastAsia" w:ascii="宋体" w:hAnsi="宋体" w:eastAsia="宋体" w:cs="宋体"/>
                <w:b/>
                <w:color w:val="000000" w:themeColor="text1"/>
                <w:sz w:val="21"/>
                <w:szCs w:val="21"/>
                <w:lang w:val="en-US" w:eastAsia="zh-CN"/>
                <w14:textFill>
                  <w14:solidFill>
                    <w14:schemeClr w14:val="tx1"/>
                  </w14:solidFill>
                </w14:textFill>
              </w:rPr>
              <w:t>满分</w:t>
            </w:r>
            <w:r>
              <w:rPr>
                <w:rFonts w:hint="eastAsia" w:ascii="宋体" w:hAnsi="宋体" w:eastAsia="宋体" w:cs="宋体"/>
                <w:b/>
                <w:color w:val="000000" w:themeColor="text1"/>
                <w:sz w:val="21"/>
                <w:szCs w:val="21"/>
                <w14:textFill>
                  <w14:solidFill>
                    <w14:schemeClr w14:val="tx1"/>
                  </w14:solidFill>
                </w14:textFill>
              </w:rPr>
              <w:t>20分）</w:t>
            </w:r>
          </w:p>
        </w:tc>
        <w:tc>
          <w:tcPr>
            <w:tcW w:w="969" w:type="dxa"/>
            <w:tcBorders>
              <w:top w:val="single" w:color="auto" w:sz="4" w:space="0"/>
              <w:left w:val="single" w:color="auto" w:sz="4" w:space="0"/>
              <w:bottom w:val="single" w:color="auto" w:sz="4" w:space="0"/>
              <w:right w:val="single" w:color="auto" w:sz="4" w:space="0"/>
            </w:tcBorders>
            <w:noWrap/>
            <w:vAlign w:val="center"/>
          </w:tcPr>
          <w:p w14:paraId="39BAFB64">
            <w:pPr>
              <w:adjustRightInd w:val="0"/>
              <w:jc w:val="center"/>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报价（20分）</w:t>
            </w:r>
          </w:p>
        </w:tc>
        <w:tc>
          <w:tcPr>
            <w:tcW w:w="6878" w:type="dxa"/>
            <w:tcBorders>
              <w:top w:val="single" w:color="auto" w:sz="4" w:space="0"/>
              <w:left w:val="single" w:color="auto" w:sz="4" w:space="0"/>
              <w:bottom w:val="single" w:color="auto" w:sz="4" w:space="0"/>
              <w:right w:val="single" w:color="auto" w:sz="4" w:space="0"/>
            </w:tcBorders>
            <w:noWrap/>
            <w:vAlign w:val="center"/>
          </w:tcPr>
          <w:p w14:paraId="25CD4E6C">
            <w:pPr>
              <w:pStyle w:val="9"/>
              <w:ind w:left="13" w:leftChars="6" w:firstLine="12" w:firstLineChars="6"/>
              <w:rPr>
                <w:rFonts w:hint="eastAsia" w:ascii="宋体" w:hAnsi="宋体" w:eastAsia="宋体" w:cs="宋体"/>
                <w:bCs/>
                <w:color w:val="000000" w:themeColor="text1"/>
                <w:kern w:val="2"/>
                <w:sz w:val="21"/>
                <w:szCs w:val="21"/>
                <w14:textFill>
                  <w14:solidFill>
                    <w14:schemeClr w14:val="tx1"/>
                  </w14:solidFill>
                </w14:textFill>
              </w:rPr>
            </w:pPr>
            <w:r>
              <w:rPr>
                <w:rFonts w:hint="eastAsia" w:ascii="宋体" w:hAnsi="宋体" w:eastAsia="宋体" w:cs="宋体"/>
                <w:bCs/>
                <w:color w:val="000000" w:themeColor="text1"/>
                <w:kern w:val="2"/>
                <w:sz w:val="21"/>
                <w:szCs w:val="21"/>
                <w14:textFill>
                  <w14:solidFill>
                    <w14:schemeClr w14:val="tx1"/>
                  </w14:solidFill>
                </w14:textFill>
              </w:rPr>
              <w:t>价格分采用低价优先法计算，即满足响应文件最低的报价为基准价，其价格分为满分。其他报价的价格分统一按照下列公式计算：</w:t>
            </w:r>
          </w:p>
          <w:p w14:paraId="22F10EE7">
            <w:pPr>
              <w:pStyle w:val="9"/>
              <w:ind w:left="13" w:leftChars="6" w:firstLine="12" w:firstLineChars="6"/>
              <w:rPr>
                <w:rFonts w:hint="eastAsia" w:ascii="宋体" w:hAnsi="宋体" w:eastAsia="宋体" w:cs="宋体"/>
                <w:bCs/>
                <w:color w:val="000000" w:themeColor="text1"/>
                <w:kern w:val="2"/>
                <w:sz w:val="21"/>
                <w:szCs w:val="21"/>
                <w14:textFill>
                  <w14:solidFill>
                    <w14:schemeClr w14:val="tx1"/>
                  </w14:solidFill>
                </w14:textFill>
              </w:rPr>
            </w:pPr>
            <w:r>
              <w:rPr>
                <w:rFonts w:hint="eastAsia" w:ascii="宋体" w:hAnsi="宋体" w:eastAsia="宋体" w:cs="宋体"/>
                <w:bCs/>
                <w:color w:val="000000" w:themeColor="text1"/>
                <w:kern w:val="2"/>
                <w:sz w:val="21"/>
                <w:szCs w:val="21"/>
                <w14:textFill>
                  <w14:solidFill>
                    <w14:schemeClr w14:val="tx1"/>
                  </w14:solidFill>
                </w14:textFill>
              </w:rPr>
              <w:t>响应单位报价分=（评标基准价／评标报价）×20分</w:t>
            </w:r>
          </w:p>
        </w:tc>
      </w:tr>
      <w:tr w14:paraId="40DF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447" w:type="dxa"/>
            <w:vMerge w:val="restart"/>
            <w:tcBorders>
              <w:top w:val="single" w:color="auto" w:sz="4" w:space="0"/>
              <w:left w:val="single" w:color="auto" w:sz="4" w:space="0"/>
              <w:right w:val="single" w:color="auto" w:sz="4" w:space="0"/>
            </w:tcBorders>
            <w:noWrap/>
            <w:vAlign w:val="center"/>
          </w:tcPr>
          <w:p w14:paraId="5E2D8D24">
            <w:pPr>
              <w:adjustRightInd w:val="0"/>
              <w:jc w:val="center"/>
              <w:textAlignment w:val="baseline"/>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w:t>
            </w:r>
          </w:p>
        </w:tc>
        <w:tc>
          <w:tcPr>
            <w:tcW w:w="886" w:type="dxa"/>
            <w:vMerge w:val="restart"/>
            <w:tcBorders>
              <w:top w:val="single" w:color="auto" w:sz="4" w:space="0"/>
              <w:left w:val="single" w:color="auto" w:sz="4" w:space="0"/>
              <w:right w:val="single" w:color="auto" w:sz="4" w:space="0"/>
            </w:tcBorders>
            <w:noWrap/>
            <w:vAlign w:val="center"/>
          </w:tcPr>
          <w:p w14:paraId="650EA715">
            <w:pPr>
              <w:adjustRightInd w:val="0"/>
              <w:ind w:left="-105" w:leftChars="-50" w:right="-105" w:rightChars="-50"/>
              <w:jc w:val="center"/>
              <w:textAlignment w:val="baseline"/>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技术分</w:t>
            </w:r>
          </w:p>
          <w:p w14:paraId="5F94C72B">
            <w:pPr>
              <w:adjustRightInd w:val="0"/>
              <w:ind w:left="-105" w:leftChars="-50" w:right="-105" w:rightChars="-50"/>
              <w:jc w:val="center"/>
              <w:textAlignment w:val="baseline"/>
              <w:rPr>
                <w:rFonts w:hint="eastAsia" w:ascii="宋体" w:hAnsi="宋体" w:eastAsia="宋体" w:cs="宋体"/>
                <w:color w:val="000000" w:themeColor="text1"/>
                <w:spacing w:val="-18"/>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w:t>
            </w:r>
            <w:r>
              <w:rPr>
                <w:rFonts w:hint="eastAsia" w:ascii="宋体" w:hAnsi="宋体" w:eastAsia="宋体" w:cs="宋体"/>
                <w:b/>
                <w:color w:val="000000" w:themeColor="text1"/>
                <w:sz w:val="21"/>
                <w:szCs w:val="21"/>
                <w14:textFill>
                  <w14:solidFill>
                    <w14:schemeClr w14:val="tx1"/>
                  </w14:solidFill>
                </w14:textFill>
              </w:rPr>
              <w:t>满分56</w:t>
            </w:r>
            <w:r>
              <w:rPr>
                <w:rFonts w:hint="eastAsia" w:ascii="宋体" w:hAnsi="宋体" w:eastAsia="宋体" w:cs="宋体"/>
                <w:b/>
                <w:bCs/>
                <w:color w:val="000000" w:themeColor="text1"/>
                <w:sz w:val="21"/>
                <w:szCs w:val="21"/>
                <w14:textFill>
                  <w14:solidFill>
                    <w14:schemeClr w14:val="tx1"/>
                  </w14:solidFill>
                </w14:textFill>
              </w:rPr>
              <w:t>分）</w:t>
            </w:r>
          </w:p>
        </w:tc>
        <w:tc>
          <w:tcPr>
            <w:tcW w:w="969" w:type="dxa"/>
            <w:tcBorders>
              <w:top w:val="single" w:color="auto" w:sz="4" w:space="0"/>
              <w:left w:val="single" w:color="auto" w:sz="4" w:space="0"/>
              <w:right w:val="single" w:color="auto" w:sz="4" w:space="0"/>
            </w:tcBorders>
            <w:noWrap/>
            <w:vAlign w:val="center"/>
          </w:tcPr>
          <w:p w14:paraId="1C02377B">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基本分（10分）</w:t>
            </w:r>
          </w:p>
        </w:tc>
        <w:tc>
          <w:tcPr>
            <w:tcW w:w="6878" w:type="dxa"/>
            <w:tcBorders>
              <w:top w:val="single" w:color="auto" w:sz="4" w:space="0"/>
              <w:left w:val="single" w:color="auto" w:sz="4" w:space="0"/>
              <w:bottom w:val="single" w:color="auto" w:sz="4" w:space="0"/>
              <w:right w:val="single" w:color="auto" w:sz="4" w:space="0"/>
            </w:tcBorders>
            <w:noWrap/>
            <w:vAlign w:val="center"/>
          </w:tcPr>
          <w:p w14:paraId="36F2AE98">
            <w:pP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所有进入详细评审的供应商得基本分10分，</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所有服务</w:t>
            </w:r>
            <w:r>
              <w:rPr>
                <w:rFonts w:hint="eastAsia" w:ascii="宋体" w:hAnsi="宋体" w:eastAsia="宋体" w:cs="宋体"/>
                <w:bCs/>
                <w:color w:val="000000" w:themeColor="text1"/>
                <w:sz w:val="21"/>
                <w:szCs w:val="21"/>
                <w:highlight w:val="none"/>
                <w14:textFill>
                  <w14:solidFill>
                    <w14:schemeClr w14:val="tx1"/>
                  </w14:solidFill>
                </w14:textFill>
              </w:rPr>
              <w:t>要求(未标注▲号参数指标)负偏离一项的在基本分基础上扣3分，漏项视为负偏离，扣完为止。</w:t>
            </w:r>
          </w:p>
        </w:tc>
      </w:tr>
      <w:tr w14:paraId="26A7A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dxa"/>
            <w:vMerge w:val="continue"/>
            <w:tcBorders>
              <w:left w:val="single" w:color="auto" w:sz="4" w:space="0"/>
              <w:right w:val="single" w:color="auto" w:sz="4" w:space="0"/>
            </w:tcBorders>
            <w:noWrap/>
            <w:vAlign w:val="center"/>
          </w:tcPr>
          <w:p w14:paraId="0FD08F9A">
            <w:pPr>
              <w:adjustRightInd w:val="0"/>
              <w:jc w:val="center"/>
              <w:textAlignment w:val="baseline"/>
              <w:rPr>
                <w:rFonts w:hint="eastAsia" w:ascii="宋体" w:hAnsi="宋体" w:eastAsia="宋体" w:cs="宋体"/>
                <w:b/>
                <w:color w:val="000000" w:themeColor="text1"/>
                <w:sz w:val="21"/>
                <w:szCs w:val="21"/>
                <w14:textFill>
                  <w14:solidFill>
                    <w14:schemeClr w14:val="tx1"/>
                  </w14:solidFill>
                </w14:textFill>
              </w:rPr>
            </w:pPr>
          </w:p>
        </w:tc>
        <w:tc>
          <w:tcPr>
            <w:tcW w:w="886" w:type="dxa"/>
            <w:vMerge w:val="continue"/>
            <w:tcBorders>
              <w:left w:val="single" w:color="auto" w:sz="4" w:space="0"/>
              <w:right w:val="single" w:color="auto" w:sz="4" w:space="0"/>
            </w:tcBorders>
            <w:noWrap/>
            <w:vAlign w:val="center"/>
          </w:tcPr>
          <w:p w14:paraId="6C5182A1">
            <w:pPr>
              <w:adjustRightInd w:val="0"/>
              <w:ind w:left="-105" w:leftChars="-50" w:right="-105" w:rightChars="-50"/>
              <w:jc w:val="center"/>
              <w:textAlignment w:val="baseline"/>
              <w:rPr>
                <w:rFonts w:hint="eastAsia" w:ascii="宋体" w:hAnsi="宋体" w:eastAsia="宋体" w:cs="宋体"/>
                <w:b/>
                <w:bCs/>
                <w:color w:val="000000" w:themeColor="text1"/>
                <w:sz w:val="21"/>
                <w:szCs w:val="21"/>
                <w14:textFill>
                  <w14:solidFill>
                    <w14:schemeClr w14:val="tx1"/>
                  </w14:solidFill>
                </w14:textFill>
              </w:rPr>
            </w:pPr>
          </w:p>
        </w:tc>
        <w:tc>
          <w:tcPr>
            <w:tcW w:w="969" w:type="dxa"/>
            <w:tcBorders>
              <w:top w:val="single" w:color="auto" w:sz="4" w:space="0"/>
              <w:left w:val="single" w:color="auto" w:sz="4" w:space="0"/>
              <w:right w:val="single" w:color="auto" w:sz="4" w:space="0"/>
            </w:tcBorders>
            <w:noWrap/>
            <w:vAlign w:val="center"/>
          </w:tcPr>
          <w:p w14:paraId="534CEC2B">
            <w:pPr>
              <w:adjustRightInd w:val="0"/>
              <w:jc w:val="center"/>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pacing w:val="-18"/>
                <w:sz w:val="21"/>
                <w:szCs w:val="21"/>
                <w14:textFill>
                  <w14:solidFill>
                    <w14:schemeClr w14:val="tx1"/>
                  </w14:solidFill>
                </w14:textFill>
              </w:rPr>
              <w:t>维护保养实施方案</w:t>
            </w:r>
            <w:r>
              <w:rPr>
                <w:rFonts w:hint="eastAsia" w:ascii="宋体" w:hAnsi="宋体" w:eastAsia="宋体" w:cs="宋体"/>
                <w:bCs/>
                <w:color w:val="000000" w:themeColor="text1"/>
                <w:sz w:val="21"/>
                <w:szCs w:val="21"/>
                <w14:textFill>
                  <w14:solidFill>
                    <w14:schemeClr w14:val="tx1"/>
                  </w14:solidFill>
                </w14:textFill>
              </w:rPr>
              <w:t>（16分）</w:t>
            </w:r>
          </w:p>
        </w:tc>
        <w:tc>
          <w:tcPr>
            <w:tcW w:w="6878" w:type="dxa"/>
            <w:tcBorders>
              <w:top w:val="single" w:color="auto" w:sz="4" w:space="0"/>
              <w:left w:val="single" w:color="auto" w:sz="4" w:space="0"/>
              <w:bottom w:val="single" w:color="auto" w:sz="4" w:space="0"/>
              <w:right w:val="single" w:color="auto" w:sz="4" w:space="0"/>
            </w:tcBorders>
            <w:noWrap/>
            <w:vAlign w:val="center"/>
          </w:tcPr>
          <w:p w14:paraId="154FF247">
            <w:pPr>
              <w:adjustRightInd w:val="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由评审小组根据供应商的维护保养实施方案与需求的吻合程度以及对</w:t>
            </w:r>
            <w:r>
              <w:rPr>
                <w:rFonts w:hint="eastAsia" w:ascii="宋体" w:hAnsi="宋体" w:eastAsia="宋体" w:cs="宋体"/>
                <w:bCs/>
                <w:color w:val="000000" w:themeColor="text1"/>
                <w:sz w:val="21"/>
                <w:szCs w:val="21"/>
                <w:lang w:val="en-US" w:eastAsia="zh-CN"/>
                <w14:textFill>
                  <w14:solidFill>
                    <w14:schemeClr w14:val="tx1"/>
                  </w14:solidFill>
                </w14:textFill>
              </w:rPr>
              <w:t>医院方</w:t>
            </w:r>
            <w:r>
              <w:rPr>
                <w:rFonts w:hint="eastAsia" w:ascii="宋体" w:hAnsi="宋体" w:eastAsia="宋体" w:cs="宋体"/>
                <w:bCs/>
                <w:color w:val="000000" w:themeColor="text1"/>
                <w:sz w:val="21"/>
                <w:szCs w:val="21"/>
                <w14:textFill>
                  <w14:solidFill>
                    <w14:schemeClr w14:val="tx1"/>
                  </w14:solidFill>
                </w14:textFill>
              </w:rPr>
              <w:t>现有设备的熟悉和理解情况，所制定方案的科学性、可靠性、成熟性、合理性的情况（包括：故障分级管理，故障系统质量管理，故障报告，故障处理规范等）进行评定：</w:t>
            </w:r>
          </w:p>
          <w:p w14:paraId="5948325A">
            <w:pPr>
              <w:adjustRightInd w:val="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一档（8分）：提供了维护保养实施方案，故障分级管理，故障系统质量管理，故障报告，故障处理规范等内容齐全但具体措施不明确，项目保障性不强。</w:t>
            </w:r>
          </w:p>
          <w:p w14:paraId="5F55EBC5">
            <w:pPr>
              <w:adjustRightInd w:val="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二档（12分）：提供了维护保养实施方案，故障分级管理，故障系统质量管理，故障报告，故障处理规范等内容齐全、措施考虑周全，有可行性、保障性。有软硬件故障及时排除的对策，但对运行服务保障应急预案及实施过程可能遇到的问题及其应对措施的阐述不明确或措施过于单一。</w:t>
            </w:r>
          </w:p>
          <w:p w14:paraId="18A428C5">
            <w:pPr>
              <w:adjustRightInd w:val="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三档（16分）：提供了维护保养实施方案，故障分级管理，故障系统质量管理，故障报告，故障处理规范等内容齐全、措施考虑周全，阐述详细明确，有利于采购项目实施其它措施内容和建议，项目实施的可行性、保障性强。软硬件故障及时排除的对策有针对性，能提供有针对性的运行服务保障应急预案，并且实施过程可能遇到的问题及其应对措施合理，措施考虑到位。</w:t>
            </w:r>
          </w:p>
        </w:tc>
      </w:tr>
      <w:tr w14:paraId="44F34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447" w:type="dxa"/>
            <w:vMerge w:val="continue"/>
            <w:tcBorders>
              <w:left w:val="single" w:color="auto" w:sz="4" w:space="0"/>
              <w:right w:val="single" w:color="auto" w:sz="4" w:space="0"/>
            </w:tcBorders>
            <w:noWrap/>
            <w:vAlign w:val="center"/>
          </w:tcPr>
          <w:p w14:paraId="3454E143">
            <w:pPr>
              <w:adjustRightInd w:val="0"/>
              <w:jc w:val="center"/>
              <w:textAlignment w:val="baseline"/>
              <w:rPr>
                <w:rFonts w:hint="eastAsia" w:ascii="宋体" w:hAnsi="宋体" w:eastAsia="宋体" w:cs="宋体"/>
                <w:b/>
                <w:color w:val="000000" w:themeColor="text1"/>
                <w:sz w:val="21"/>
                <w:szCs w:val="21"/>
                <w14:textFill>
                  <w14:solidFill>
                    <w14:schemeClr w14:val="tx1"/>
                  </w14:solidFill>
                </w14:textFill>
              </w:rPr>
            </w:pPr>
          </w:p>
        </w:tc>
        <w:tc>
          <w:tcPr>
            <w:tcW w:w="886" w:type="dxa"/>
            <w:vMerge w:val="continue"/>
            <w:tcBorders>
              <w:left w:val="single" w:color="auto" w:sz="4" w:space="0"/>
              <w:right w:val="single" w:color="auto" w:sz="4" w:space="0"/>
            </w:tcBorders>
            <w:noWrap/>
            <w:vAlign w:val="center"/>
          </w:tcPr>
          <w:p w14:paraId="565FD2FB">
            <w:pPr>
              <w:adjustRightInd w:val="0"/>
              <w:ind w:left="-105" w:leftChars="-50" w:right="-105" w:rightChars="-50"/>
              <w:jc w:val="center"/>
              <w:textAlignment w:val="baseline"/>
              <w:rPr>
                <w:rFonts w:hint="eastAsia" w:ascii="宋体" w:hAnsi="宋体" w:eastAsia="宋体" w:cs="宋体"/>
                <w:b/>
                <w:bCs/>
                <w:color w:val="000000" w:themeColor="text1"/>
                <w:sz w:val="21"/>
                <w:szCs w:val="21"/>
                <w14:textFill>
                  <w14:solidFill>
                    <w14:schemeClr w14:val="tx1"/>
                  </w14:solidFill>
                </w14:textFill>
              </w:rPr>
            </w:pPr>
          </w:p>
        </w:tc>
        <w:tc>
          <w:tcPr>
            <w:tcW w:w="969" w:type="dxa"/>
            <w:tcBorders>
              <w:top w:val="single" w:color="auto" w:sz="4" w:space="0"/>
              <w:left w:val="single" w:color="auto" w:sz="4" w:space="0"/>
              <w:right w:val="single" w:color="auto" w:sz="4" w:space="0"/>
            </w:tcBorders>
            <w:noWrap/>
            <w:vAlign w:val="center"/>
          </w:tcPr>
          <w:p w14:paraId="4C431EAF">
            <w:pPr>
              <w:adjustRightInd w:val="0"/>
              <w:jc w:val="center"/>
              <w:textAlignment w:val="baseline"/>
              <w:rPr>
                <w:rFonts w:hint="eastAsia" w:ascii="宋体" w:hAnsi="宋体" w:eastAsia="宋体" w:cs="宋体"/>
                <w:color w:val="000000" w:themeColor="text1"/>
                <w:spacing w:val="-18"/>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定期巡检、应急处理的报告和制度</w:t>
            </w:r>
          </w:p>
          <w:p w14:paraId="2452F229">
            <w:pPr>
              <w:adjustRightInd w:val="0"/>
              <w:jc w:val="center"/>
              <w:textAlignment w:val="baseline"/>
              <w:rPr>
                <w:rFonts w:hint="eastAsia" w:ascii="宋体" w:hAnsi="宋体" w:eastAsia="宋体" w:cs="宋体"/>
                <w:color w:val="000000" w:themeColor="text1"/>
                <w:spacing w:val="-18"/>
                <w:sz w:val="21"/>
                <w:szCs w:val="21"/>
                <w14:textFill>
                  <w14:solidFill>
                    <w14:schemeClr w14:val="tx1"/>
                  </w14:solidFill>
                </w14:textFill>
              </w:rPr>
            </w:pPr>
            <w:r>
              <w:rPr>
                <w:rFonts w:hint="eastAsia" w:ascii="宋体" w:hAnsi="宋体" w:eastAsia="宋体" w:cs="宋体"/>
                <w:color w:val="000000" w:themeColor="text1"/>
                <w:spacing w:val="-18"/>
                <w:sz w:val="21"/>
                <w:szCs w:val="21"/>
                <w14:textFill>
                  <w14:solidFill>
                    <w14:schemeClr w14:val="tx1"/>
                  </w14:solidFill>
                </w14:textFill>
              </w:rPr>
              <w:t>（15分）</w:t>
            </w:r>
          </w:p>
        </w:tc>
        <w:tc>
          <w:tcPr>
            <w:tcW w:w="6878" w:type="dxa"/>
            <w:tcBorders>
              <w:top w:val="single" w:color="auto" w:sz="4" w:space="0"/>
              <w:left w:val="single" w:color="auto" w:sz="4" w:space="0"/>
              <w:right w:val="single" w:color="auto" w:sz="4" w:space="0"/>
            </w:tcBorders>
            <w:noWrap/>
            <w:vAlign w:val="center"/>
          </w:tcPr>
          <w:p w14:paraId="4183A857">
            <w:pPr>
              <w:adjustRightInd w:val="0"/>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由评审小组根据供应商是否建立定期巡检制度、应急处理的情况报告制度，定期出具巡检和设备运行情况报告；是否建立服务档案和解决方案资料库的情况进行评定：</w:t>
            </w:r>
          </w:p>
          <w:p w14:paraId="1A451BE7">
            <w:pPr>
              <w:adjustRightInd w:val="0"/>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一档（9分）：缺乏定期巡检制度和设备运行情况报告制度，服务档案和解决方案资料库缺失或不全；系统故障的排除及运行服务保障应急预案的考虑不全面，保障性不强。</w:t>
            </w:r>
          </w:p>
          <w:p w14:paraId="3BD0EED6">
            <w:pPr>
              <w:adjustRightInd w:val="0"/>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二档（12分）：基本明确定期巡检制度和设备运行情况报告制度，定期出具巡检和设备运行情况报告；系统故障及时排除的对策较详细，能提供运行服务保障应急预案，并且实施过程可能遇到的问题及其应对措施较合理。</w:t>
            </w:r>
          </w:p>
          <w:p w14:paraId="0A52B230">
            <w:pPr>
              <w:adjustRightInd w:val="0"/>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三档（15分）：已建立内容详细，操作规范，具体明确到实际操作的定期巡检制度和设备运行情况报告制度，定期出具</w:t>
            </w:r>
            <w:r>
              <w:rPr>
                <w:rFonts w:hint="eastAsia" w:ascii="宋体" w:hAnsi="宋体" w:eastAsia="宋体" w:cs="宋体"/>
                <w:color w:val="auto"/>
                <w:sz w:val="21"/>
                <w:szCs w:val="21"/>
              </w:rPr>
              <w:t>设备巡检报告</w:t>
            </w:r>
            <w:r>
              <w:rPr>
                <w:rFonts w:hint="eastAsia" w:ascii="宋体" w:hAnsi="宋体" w:eastAsia="宋体" w:cs="宋体"/>
                <w:bCs/>
                <w:color w:val="auto"/>
                <w:sz w:val="21"/>
                <w:szCs w:val="21"/>
              </w:rPr>
              <w:t>和设备运行情况报告并已建立保持更新的服务档案和解决方案资料库；系统故障及时排除的对策具体可行，能提供有针对性的运行服务保障应急预案，并且实施过程可能遇到的问题及其应对措施合理，能较为详细提供应急演练计划。</w:t>
            </w:r>
          </w:p>
          <w:p w14:paraId="6A040918">
            <w:pPr>
              <w:tabs>
                <w:tab w:val="left" w:pos="2052"/>
              </w:tabs>
              <w:jc w:val="left"/>
              <w:rPr>
                <w:rFonts w:hint="eastAsia"/>
                <w:color w:val="auto"/>
                <w:lang w:val="en-US" w:eastAsia="zh-CN"/>
              </w:rPr>
            </w:pPr>
          </w:p>
        </w:tc>
      </w:tr>
      <w:tr w14:paraId="52F58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6" w:hRule="atLeast"/>
        </w:trPr>
        <w:tc>
          <w:tcPr>
            <w:tcW w:w="447" w:type="dxa"/>
            <w:vMerge w:val="continue"/>
            <w:tcBorders>
              <w:left w:val="single" w:color="auto" w:sz="4" w:space="0"/>
              <w:right w:val="single" w:color="auto" w:sz="4" w:space="0"/>
            </w:tcBorders>
            <w:noWrap/>
            <w:vAlign w:val="center"/>
          </w:tcPr>
          <w:p w14:paraId="6DB5221D">
            <w:pPr>
              <w:adjustRightInd w:val="0"/>
              <w:jc w:val="center"/>
              <w:textAlignment w:val="baseline"/>
              <w:rPr>
                <w:rFonts w:hint="eastAsia" w:ascii="宋体" w:hAnsi="宋体" w:eastAsia="宋体" w:cs="宋体"/>
                <w:b/>
                <w:color w:val="000000" w:themeColor="text1"/>
                <w:sz w:val="21"/>
                <w:szCs w:val="21"/>
                <w14:textFill>
                  <w14:solidFill>
                    <w14:schemeClr w14:val="tx1"/>
                  </w14:solidFill>
                </w14:textFill>
              </w:rPr>
            </w:pPr>
          </w:p>
        </w:tc>
        <w:tc>
          <w:tcPr>
            <w:tcW w:w="886" w:type="dxa"/>
            <w:vMerge w:val="continue"/>
            <w:tcBorders>
              <w:left w:val="single" w:color="auto" w:sz="4" w:space="0"/>
              <w:right w:val="single" w:color="auto" w:sz="4" w:space="0"/>
            </w:tcBorders>
            <w:noWrap/>
            <w:vAlign w:val="center"/>
          </w:tcPr>
          <w:p w14:paraId="457D6070">
            <w:pPr>
              <w:adjustRightInd w:val="0"/>
              <w:ind w:left="-105" w:leftChars="-50" w:right="-105" w:rightChars="-50"/>
              <w:jc w:val="center"/>
              <w:textAlignment w:val="baseline"/>
              <w:rPr>
                <w:rFonts w:hint="eastAsia" w:ascii="宋体" w:hAnsi="宋体" w:eastAsia="宋体" w:cs="宋体"/>
                <w:b/>
                <w:bCs/>
                <w:color w:val="000000" w:themeColor="text1"/>
                <w:sz w:val="21"/>
                <w:szCs w:val="21"/>
                <w14:textFill>
                  <w14:solidFill>
                    <w14:schemeClr w14:val="tx1"/>
                  </w14:solidFill>
                </w14:textFill>
              </w:rPr>
            </w:pPr>
          </w:p>
        </w:tc>
        <w:tc>
          <w:tcPr>
            <w:tcW w:w="969" w:type="dxa"/>
            <w:tcBorders>
              <w:left w:val="single" w:color="auto" w:sz="4" w:space="0"/>
              <w:right w:val="single" w:color="auto" w:sz="4" w:space="0"/>
            </w:tcBorders>
            <w:noWrap/>
            <w:vAlign w:val="center"/>
          </w:tcPr>
          <w:p w14:paraId="265087FE">
            <w:pPr>
              <w:adjustRightInd w:val="0"/>
              <w:jc w:val="center"/>
              <w:textAlignment w:val="baseline"/>
              <w:rPr>
                <w:rFonts w:hint="eastAsia" w:ascii="宋体" w:hAnsi="宋体" w:eastAsia="宋体" w:cs="宋体"/>
                <w:color w:val="000000" w:themeColor="text1"/>
                <w:spacing w:val="-18"/>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人员技术储备分</w:t>
            </w:r>
            <w:r>
              <w:rPr>
                <w:rFonts w:hint="eastAsia" w:ascii="宋体" w:hAnsi="宋体" w:eastAsia="宋体" w:cs="宋体"/>
                <w:bCs/>
                <w:color w:val="000000" w:themeColor="text1"/>
                <w:sz w:val="21"/>
                <w:szCs w:val="21"/>
                <w14:textFill>
                  <w14:solidFill>
                    <w14:schemeClr w14:val="tx1"/>
                  </w14:solidFill>
                </w14:textFill>
              </w:rPr>
              <w:t>（15分）</w:t>
            </w:r>
          </w:p>
        </w:tc>
        <w:tc>
          <w:tcPr>
            <w:tcW w:w="6878" w:type="dxa"/>
            <w:tcBorders>
              <w:top w:val="single" w:color="auto" w:sz="4" w:space="0"/>
              <w:left w:val="single" w:color="auto" w:sz="4" w:space="0"/>
              <w:right w:val="single" w:color="auto" w:sz="4" w:space="0"/>
            </w:tcBorders>
            <w:noWrap/>
            <w:vAlign w:val="center"/>
          </w:tcPr>
          <w:p w14:paraId="0230BB6B">
            <w:pPr>
              <w:numPr>
                <w:ilvl w:val="0"/>
                <w:numId w:val="7"/>
              </w:numPr>
              <w:snapToGrid w:val="0"/>
              <w:rPr>
                <w:rFonts w:hint="eastAsia" w:ascii="宋体" w:hAnsi="宋体" w:eastAsia="宋体" w:cs="宋体"/>
                <w:color w:val="auto"/>
                <w:sz w:val="21"/>
                <w:szCs w:val="21"/>
              </w:rPr>
            </w:pPr>
            <w:r>
              <w:rPr>
                <w:rFonts w:hint="eastAsia" w:ascii="宋体" w:hAnsi="宋体" w:eastAsia="宋体" w:cs="宋体"/>
                <w:bCs/>
                <w:color w:val="auto"/>
                <w:sz w:val="21"/>
                <w:szCs w:val="21"/>
              </w:rPr>
              <w:t>拟投入</w:t>
            </w:r>
            <w:r>
              <w:rPr>
                <w:rFonts w:hint="eastAsia" w:ascii="宋体" w:hAnsi="宋体" w:eastAsia="宋体" w:cs="宋体"/>
                <w:color w:val="auto"/>
                <w:sz w:val="21"/>
                <w:szCs w:val="21"/>
              </w:rPr>
              <w:t>1名项目负责人同时具备信息系统项目管理师专业技术资格证书和通信专业技术人员职业资格（互联网技术）证书；得6分，（满分6分）；</w:t>
            </w:r>
          </w:p>
          <w:p w14:paraId="126C52BF">
            <w:pPr>
              <w:pStyle w:val="2"/>
              <w:ind w:left="0" w:leftChars="0" w:firstLine="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w:t>
            </w:r>
            <w:r>
              <w:rPr>
                <w:rFonts w:hint="eastAsia" w:ascii="宋体" w:hAnsi="宋体" w:eastAsia="宋体" w:cs="宋体"/>
                <w:bCs/>
                <w:color w:val="auto"/>
                <w:sz w:val="21"/>
                <w:szCs w:val="21"/>
                <w:lang w:eastAsia="zh-CN"/>
              </w:rPr>
              <w:t>拟投入</w:t>
            </w:r>
            <w:r>
              <w:rPr>
                <w:rFonts w:hint="eastAsia" w:ascii="宋体" w:hAnsi="宋体" w:eastAsia="宋体" w:cs="宋体"/>
                <w:color w:val="auto"/>
                <w:sz w:val="21"/>
                <w:szCs w:val="21"/>
                <w:lang w:eastAsia="zh-CN"/>
              </w:rPr>
              <w:t>1名售后负责人同时具备信息与通信工程副高级以上职称证书、信息系统项目管理师证书和通信专业技术人员职业资格（互联网技术）证书；得6分，（满分6分）；</w:t>
            </w:r>
          </w:p>
          <w:p w14:paraId="021F6545">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（3）拟投入实施的人员中（满分3分）：通过计算机技术与软件专业技术资格（水平）考试，取得与网络规划相关中级（网络工程师）或高级（网络规划设计师）证书的，每有1人得1分，满分3分；</w:t>
            </w:r>
          </w:p>
          <w:p w14:paraId="042DF10A">
            <w:pPr>
              <w:pStyle w:val="7"/>
              <w:rPr>
                <w:rFonts w:hint="eastAsia" w:ascii="宋体" w:hAnsi="宋体" w:eastAsia="宋体" w:cs="宋体"/>
                <w:color w:val="auto"/>
                <w:sz w:val="21"/>
                <w:szCs w:val="21"/>
              </w:rPr>
            </w:pPr>
            <w:r>
              <w:rPr>
                <w:rFonts w:hint="eastAsia" w:ascii="宋体" w:hAnsi="宋体" w:eastAsia="宋体" w:cs="宋体"/>
                <w:color w:val="auto"/>
                <w:sz w:val="21"/>
                <w:szCs w:val="21"/>
              </w:rPr>
              <w:t>注：以上项目负责人、售后负责人和实施的人员不能为相同人员，响应文件中提供近半年连续三个月供应商为其缴纳社保复印件，及相关人员证书证明材料复印件，原件备查。不提供或提供材料不齐全的不得分。</w:t>
            </w:r>
          </w:p>
        </w:tc>
      </w:tr>
      <w:tr w14:paraId="6590B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6" w:hRule="atLeast"/>
        </w:trPr>
        <w:tc>
          <w:tcPr>
            <w:tcW w:w="447" w:type="dxa"/>
            <w:tcBorders>
              <w:top w:val="single" w:color="auto" w:sz="4" w:space="0"/>
              <w:left w:val="single" w:color="auto" w:sz="4" w:space="0"/>
              <w:right w:val="single" w:color="auto" w:sz="4" w:space="0"/>
            </w:tcBorders>
            <w:noWrap/>
            <w:vAlign w:val="center"/>
          </w:tcPr>
          <w:p w14:paraId="4FAE4CD0">
            <w:pPr>
              <w:adjustRightInd w:val="0"/>
              <w:jc w:val="center"/>
              <w:textAlignment w:val="baseline"/>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w:t>
            </w:r>
          </w:p>
        </w:tc>
        <w:tc>
          <w:tcPr>
            <w:tcW w:w="886" w:type="dxa"/>
            <w:tcBorders>
              <w:top w:val="single" w:color="auto" w:sz="4" w:space="0"/>
              <w:left w:val="single" w:color="auto" w:sz="4" w:space="0"/>
              <w:right w:val="single" w:color="auto" w:sz="4" w:space="0"/>
            </w:tcBorders>
            <w:noWrap/>
            <w:vAlign w:val="center"/>
          </w:tcPr>
          <w:p w14:paraId="76B37F4C">
            <w:pPr>
              <w:adjustRightInd w:val="0"/>
              <w:jc w:val="center"/>
              <w:textAlignment w:val="baseline"/>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商务分（</w:t>
            </w:r>
            <w:r>
              <w:rPr>
                <w:rFonts w:hint="eastAsia" w:ascii="宋体" w:hAnsi="宋体" w:eastAsia="宋体" w:cs="宋体"/>
                <w:b/>
                <w:color w:val="000000" w:themeColor="text1"/>
                <w:sz w:val="21"/>
                <w:szCs w:val="21"/>
                <w14:textFill>
                  <w14:solidFill>
                    <w14:schemeClr w14:val="tx1"/>
                  </w14:solidFill>
                </w14:textFill>
              </w:rPr>
              <w:t>满分24分</w:t>
            </w:r>
            <w:r>
              <w:rPr>
                <w:rFonts w:hint="eastAsia" w:ascii="宋体" w:hAnsi="宋体" w:eastAsia="宋体" w:cs="宋体"/>
                <w:b/>
                <w:bCs/>
                <w:color w:val="000000" w:themeColor="text1"/>
                <w:sz w:val="21"/>
                <w:szCs w:val="21"/>
                <w14:textFill>
                  <w14:solidFill>
                    <w14:schemeClr w14:val="tx1"/>
                  </w14:solidFill>
                </w14:textFill>
              </w:rPr>
              <w:t>）</w:t>
            </w:r>
          </w:p>
        </w:tc>
        <w:tc>
          <w:tcPr>
            <w:tcW w:w="969" w:type="dxa"/>
            <w:tcBorders>
              <w:top w:val="single" w:color="auto" w:sz="4" w:space="0"/>
              <w:left w:val="single" w:color="auto" w:sz="4" w:space="0"/>
              <w:right w:val="single" w:color="auto" w:sz="4" w:space="0"/>
            </w:tcBorders>
            <w:noWrap/>
            <w:tcMar>
              <w:top w:w="0" w:type="dxa"/>
              <w:left w:w="57" w:type="dxa"/>
              <w:bottom w:w="0" w:type="dxa"/>
              <w:right w:w="57" w:type="dxa"/>
            </w:tcMar>
            <w:vAlign w:val="center"/>
          </w:tcPr>
          <w:p w14:paraId="7BC071F7">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商务分</w:t>
            </w:r>
            <w:r>
              <w:rPr>
                <w:rFonts w:hint="eastAsia" w:ascii="宋体" w:hAnsi="宋体" w:eastAsia="宋体" w:cs="宋体"/>
                <w:bCs/>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24分</w:t>
            </w:r>
            <w:r>
              <w:rPr>
                <w:rFonts w:hint="eastAsia" w:ascii="宋体" w:hAnsi="宋体" w:eastAsia="宋体" w:cs="宋体"/>
                <w:bCs/>
                <w:color w:val="000000" w:themeColor="text1"/>
                <w:sz w:val="21"/>
                <w:szCs w:val="21"/>
                <w14:textFill>
                  <w14:solidFill>
                    <w14:schemeClr w14:val="tx1"/>
                  </w14:solidFill>
                </w14:textFill>
              </w:rPr>
              <w:t>）</w:t>
            </w:r>
          </w:p>
        </w:tc>
        <w:tc>
          <w:tcPr>
            <w:tcW w:w="6878" w:type="dxa"/>
            <w:tcBorders>
              <w:top w:val="single" w:color="auto" w:sz="4" w:space="0"/>
              <w:left w:val="single" w:color="auto" w:sz="4" w:space="0"/>
              <w:right w:val="single" w:color="auto" w:sz="4" w:space="0"/>
            </w:tcBorders>
            <w:noWrap/>
          </w:tcPr>
          <w:p w14:paraId="5011600C">
            <w:pPr>
              <w:numPr>
                <w:ilvl w:val="0"/>
                <w:numId w:val="8"/>
              </w:numPr>
              <w:rPr>
                <w:rFonts w:hint="eastAsia" w:ascii="宋体" w:hAnsi="宋体" w:eastAsia="宋体" w:cs="宋体"/>
                <w:bCs/>
                <w:color w:val="auto"/>
                <w:sz w:val="21"/>
                <w:szCs w:val="21"/>
              </w:rPr>
            </w:pPr>
            <w:r>
              <w:rPr>
                <w:rFonts w:hint="eastAsia" w:ascii="宋体" w:hAnsi="宋体" w:eastAsia="宋体" w:cs="宋体"/>
                <w:bCs/>
                <w:color w:val="auto"/>
                <w:sz w:val="21"/>
                <w:szCs w:val="21"/>
              </w:rPr>
              <w:t>供应商具有ISO9001系列质量体系认证、ISO20000信息技术服务管理体系认证、ISO27001信息安全管理体系认证、ISO14001环境管理体系认证、ISO/IEC27701隐私信息管理体系认证的，每有1项得2分，满分10分。</w:t>
            </w:r>
          </w:p>
          <w:p w14:paraId="32A18EE5">
            <w:pPr>
              <w:pStyle w:val="2"/>
              <w:numPr>
                <w:ilvl w:val="0"/>
                <w:numId w:val="8"/>
              </w:numPr>
              <w:ind w:left="0" w:leftChars="0" w:firstLine="0" w:firstLineChars="0"/>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供应商具备本项目设备厂商（华为）项目授权函及售后服务承诺函原件或扫描证明文件，得 4分，满分 4分。</w:t>
            </w:r>
          </w:p>
          <w:p w14:paraId="016AC1C0">
            <w:pPr>
              <w:rPr>
                <w:rFonts w:hint="eastAsia" w:ascii="宋体" w:hAnsi="宋体" w:eastAsia="宋体" w:cs="宋体"/>
                <w:color w:val="auto"/>
                <w:sz w:val="18"/>
                <w:szCs w:val="21"/>
              </w:rPr>
            </w:pPr>
            <w:r>
              <w:rPr>
                <w:rFonts w:hint="eastAsia" w:ascii="宋体" w:hAnsi="宋体" w:eastAsia="宋体" w:cs="宋体"/>
                <w:color w:val="auto"/>
                <w:sz w:val="21"/>
                <w:szCs w:val="21"/>
              </w:rPr>
              <w:t>（3）</w:t>
            </w:r>
            <w:r>
              <w:rPr>
                <w:rFonts w:hint="eastAsia" w:ascii="宋体" w:hAnsi="宋体" w:eastAsia="宋体" w:cs="宋体"/>
                <w:bCs/>
                <w:color w:val="auto"/>
                <w:sz w:val="21"/>
                <w:szCs w:val="21"/>
              </w:rPr>
              <w:t>供应商</w:t>
            </w:r>
            <w:r>
              <w:rPr>
                <w:rFonts w:hint="eastAsia" w:ascii="宋体" w:hAnsi="宋体" w:eastAsia="宋体" w:cs="宋体"/>
                <w:color w:val="auto"/>
                <w:sz w:val="21"/>
                <w:szCs w:val="21"/>
              </w:rPr>
              <w:t>可以提供</w:t>
            </w:r>
            <w:r>
              <w:rPr>
                <w:rFonts w:hint="eastAsia" w:ascii="宋体" w:hAnsi="宋体" w:eastAsia="宋体" w:cs="宋体"/>
                <w:bCs/>
                <w:color w:val="auto"/>
                <w:sz w:val="21"/>
                <w:szCs w:val="21"/>
              </w:rPr>
              <w:t>设备厂商（华为）</w:t>
            </w:r>
            <w:r>
              <w:rPr>
                <w:rFonts w:hint="eastAsia" w:ascii="宋体" w:hAnsi="宋体" w:eastAsia="宋体" w:cs="宋体"/>
                <w:color w:val="auto"/>
                <w:sz w:val="21"/>
                <w:szCs w:val="21"/>
              </w:rPr>
              <w:t>广西本地专用备件库证明函，</w:t>
            </w:r>
            <w:r>
              <w:rPr>
                <w:rFonts w:hint="eastAsia" w:ascii="宋体" w:hAnsi="宋体" w:eastAsia="宋体" w:cs="宋体"/>
                <w:bCs/>
                <w:color w:val="auto"/>
                <w:sz w:val="21"/>
                <w:szCs w:val="21"/>
              </w:rPr>
              <w:t>得 4 分，满分 4分。</w:t>
            </w:r>
          </w:p>
          <w:p w14:paraId="76C6F43A">
            <w:pPr>
              <w:rPr>
                <w:rFonts w:hint="eastAsia" w:ascii="宋体" w:hAnsi="宋体" w:eastAsia="宋体" w:cs="宋体"/>
                <w:b/>
                <w:color w:val="auto"/>
                <w:sz w:val="21"/>
                <w:szCs w:val="21"/>
              </w:rPr>
            </w:pPr>
            <w:r>
              <w:rPr>
                <w:rFonts w:hint="eastAsia" w:ascii="宋体" w:hAnsi="宋体" w:eastAsia="宋体" w:cs="宋体"/>
                <w:b/>
                <w:color w:val="auto"/>
                <w:sz w:val="21"/>
                <w:szCs w:val="21"/>
              </w:rPr>
              <w:t>注：响应文件中提供有效的证书复印件（或扫描件）并加盖供应商电子签章，非中文文本的请提供中文翻译文本，否则不予以计分。</w:t>
            </w:r>
          </w:p>
          <w:p w14:paraId="1A07D5A2">
            <w:pPr>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bCs/>
                <w:color w:val="auto"/>
                <w:sz w:val="21"/>
                <w:szCs w:val="21"/>
              </w:rPr>
              <w:t>供应商</w:t>
            </w:r>
            <w:r>
              <w:rPr>
                <w:rFonts w:hint="eastAsia" w:ascii="宋体" w:hAnsi="宋体" w:eastAsia="宋体" w:cs="宋体"/>
                <w:color w:val="auto"/>
                <w:sz w:val="21"/>
                <w:szCs w:val="21"/>
              </w:rPr>
              <w:t>2021年1月1日至今同类项目业绩，每有1项得2分，满分6分。</w:t>
            </w:r>
          </w:p>
          <w:p w14:paraId="658B607F">
            <w:pPr>
              <w:rPr>
                <w:rFonts w:hint="eastAsia" w:ascii="宋体" w:hAnsi="宋体" w:eastAsia="宋体" w:cs="宋体"/>
                <w:b/>
                <w:color w:val="auto"/>
                <w:sz w:val="21"/>
                <w:szCs w:val="21"/>
              </w:rPr>
            </w:pPr>
            <w:r>
              <w:rPr>
                <w:rFonts w:hint="eastAsia" w:ascii="宋体" w:hAnsi="宋体" w:eastAsia="宋体" w:cs="宋体"/>
                <w:b/>
                <w:color w:val="auto"/>
                <w:sz w:val="21"/>
                <w:szCs w:val="21"/>
              </w:rPr>
              <w:t>注：响应文件中提供有效的中标通知书或合同复印件（或扫描件）并加盖供应商电子签章，否则不予以计分。</w:t>
            </w:r>
          </w:p>
        </w:tc>
      </w:tr>
      <w:tr w14:paraId="670AE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4"/>
            <w:tcBorders>
              <w:top w:val="single" w:color="auto" w:sz="4" w:space="0"/>
              <w:left w:val="single" w:color="auto" w:sz="4" w:space="0"/>
              <w:bottom w:val="single" w:color="auto" w:sz="4" w:space="0"/>
              <w:right w:val="single" w:color="auto" w:sz="4" w:space="0"/>
            </w:tcBorders>
            <w:noWrap/>
            <w:vAlign w:val="center"/>
          </w:tcPr>
          <w:p w14:paraId="369F2737">
            <w:pPr>
              <w:widowControl/>
              <w:jc w:val="lef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本项目为服务类项目，无节能、环保产品加分。</w:t>
            </w:r>
          </w:p>
        </w:tc>
      </w:tr>
    </w:tbl>
    <w:p w14:paraId="0717362E">
      <w:pPr>
        <w:spacing w:line="340" w:lineRule="exact"/>
        <w:ind w:firstLine="0"/>
        <w:rPr>
          <w:rFonts w:hint="eastAsia" w:ascii="宋体" w:hAnsi="宋体" w:eastAsia="宋体" w:cs="宋体"/>
          <w:snapToGrid w:val="0"/>
          <w:color w:val="000000" w:themeColor="text1"/>
          <w:kern w:val="0"/>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由评审小组根据综合评分情况，按照评审得分由高到低顺序推荐3名以上成交候选供应商</w:t>
      </w:r>
      <w:r>
        <w:rPr>
          <w:rFonts w:hint="eastAsia" w:ascii="宋体" w:hAnsi="宋体" w:eastAsia="宋体" w:cs="宋体"/>
          <w:bCs/>
          <w:color w:val="000000" w:themeColor="text1"/>
          <w:sz w:val="21"/>
          <w:szCs w:val="21"/>
          <w:lang w:eastAsia="zh-CN"/>
          <w14:textFill>
            <w14:solidFill>
              <w14:schemeClr w14:val="tx1"/>
            </w14:solidFill>
          </w14:textFill>
        </w:rPr>
        <w:t>。</w:t>
      </w:r>
    </w:p>
    <w:p w14:paraId="77D7A8E2"/>
    <w:p w14:paraId="6D8CDEEB"/>
    <w:p w14:paraId="7FAE7BFF"/>
    <w:p w14:paraId="6920D83B">
      <w:bookmarkStart w:id="24" w:name="_GoBack"/>
      <w:bookmarkEnd w:id="24"/>
    </w:p>
    <w:p w14:paraId="6CF1D793"/>
    <w:p w14:paraId="3B827E9F"/>
    <w:p w14:paraId="15B002A9"/>
    <w:p w14:paraId="4BCE2943"/>
    <w:p w14:paraId="3AFAB181"/>
    <w:p w14:paraId="1411F985"/>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3286491"/>
      <w:docPartObj>
        <w:docPartGallery w:val="autotext"/>
      </w:docPartObj>
    </w:sdtPr>
    <w:sdtContent>
      <w:p w14:paraId="4DE2293A">
        <w:pPr>
          <w:pStyle w:val="11"/>
          <w:jc w:val="center"/>
        </w:pPr>
        <w:r>
          <w:fldChar w:fldCharType="begin"/>
        </w:r>
        <w:r>
          <w:instrText xml:space="preserve">PAGE   \* MERGEFORMAT</w:instrText>
        </w:r>
        <w:r>
          <w:fldChar w:fldCharType="separate"/>
        </w:r>
        <w:r>
          <w:rPr>
            <w:lang w:val="zh-CN"/>
          </w:rPr>
          <w:t>3</w:t>
        </w:r>
        <w:r>
          <w:fldChar w:fldCharType="end"/>
        </w:r>
      </w:p>
    </w:sdtContent>
  </w:sdt>
  <w:p w14:paraId="1EB2CB25">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AAF256"/>
    <w:multiLevelType w:val="singleLevel"/>
    <w:tmpl w:val="9AAAF256"/>
    <w:lvl w:ilvl="0" w:tentative="0">
      <w:start w:val="1"/>
      <w:numFmt w:val="decimal"/>
      <w:suff w:val="space"/>
      <w:lvlText w:val="%1)"/>
      <w:lvlJc w:val="left"/>
      <w:pPr>
        <w:ind w:left="0" w:leftChars="0" w:firstLine="40" w:firstLineChars="0"/>
      </w:pPr>
      <w:rPr>
        <w:rFonts w:hint="default"/>
      </w:rPr>
    </w:lvl>
  </w:abstractNum>
  <w:abstractNum w:abstractNumId="1">
    <w:nsid w:val="9BFA2C82"/>
    <w:multiLevelType w:val="singleLevel"/>
    <w:tmpl w:val="9BFA2C82"/>
    <w:lvl w:ilvl="0" w:tentative="0">
      <w:start w:val="1"/>
      <w:numFmt w:val="decimal"/>
      <w:suff w:val="space"/>
      <w:lvlText w:val="%1."/>
      <w:lvlJc w:val="left"/>
      <w:pPr>
        <w:ind w:left="0" w:leftChars="0" w:firstLine="40" w:firstLineChars="0"/>
      </w:pPr>
      <w:rPr>
        <w:rFonts w:hint="default"/>
      </w:rPr>
    </w:lvl>
  </w:abstractNum>
  <w:abstractNum w:abstractNumId="2">
    <w:nsid w:val="ABA43F2C"/>
    <w:multiLevelType w:val="multilevel"/>
    <w:tmpl w:val="ABA43F2C"/>
    <w:lvl w:ilvl="0" w:tentative="0">
      <w:start w:val="1"/>
      <w:numFmt w:val="chineseCounting"/>
      <w:pStyle w:val="3"/>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pStyle w:val="5"/>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3">
    <w:nsid w:val="BE5AF00E"/>
    <w:multiLevelType w:val="singleLevel"/>
    <w:tmpl w:val="BE5AF00E"/>
    <w:lvl w:ilvl="0" w:tentative="0">
      <w:start w:val="1"/>
      <w:numFmt w:val="decimal"/>
      <w:suff w:val="space"/>
      <w:lvlText w:val="%1."/>
      <w:lvlJc w:val="left"/>
      <w:pPr>
        <w:ind w:left="0" w:leftChars="0" w:firstLine="40" w:firstLineChars="0"/>
      </w:pPr>
      <w:rPr>
        <w:rFonts w:hint="default"/>
      </w:rPr>
    </w:lvl>
  </w:abstractNum>
  <w:abstractNum w:abstractNumId="4">
    <w:nsid w:val="D7A93857"/>
    <w:multiLevelType w:val="singleLevel"/>
    <w:tmpl w:val="D7A93857"/>
    <w:lvl w:ilvl="0" w:tentative="0">
      <w:start w:val="1"/>
      <w:numFmt w:val="chineseCounting"/>
      <w:suff w:val="nothing"/>
      <w:lvlText w:val="%1、"/>
      <w:lvlJc w:val="left"/>
      <w:pPr>
        <w:ind w:left="0" w:firstLine="420"/>
      </w:pPr>
      <w:rPr>
        <w:rFonts w:hint="eastAsia"/>
      </w:rPr>
    </w:lvl>
  </w:abstractNum>
  <w:abstractNum w:abstractNumId="5">
    <w:nsid w:val="15BF1D91"/>
    <w:multiLevelType w:val="singleLevel"/>
    <w:tmpl w:val="15BF1D91"/>
    <w:lvl w:ilvl="0" w:tentative="0">
      <w:start w:val="1"/>
      <w:numFmt w:val="decimal"/>
      <w:suff w:val="space"/>
      <w:lvlText w:val="%1."/>
      <w:lvlJc w:val="left"/>
      <w:pPr>
        <w:ind w:left="0" w:leftChars="0" w:firstLine="40" w:firstLineChars="0"/>
      </w:pPr>
      <w:rPr>
        <w:rFonts w:hint="default"/>
      </w:rPr>
    </w:lvl>
  </w:abstractNum>
  <w:abstractNum w:abstractNumId="6">
    <w:nsid w:val="382ACC72"/>
    <w:multiLevelType w:val="singleLevel"/>
    <w:tmpl w:val="382ACC72"/>
    <w:lvl w:ilvl="0" w:tentative="0">
      <w:start w:val="1"/>
      <w:numFmt w:val="decimal"/>
      <w:suff w:val="nothing"/>
      <w:lvlText w:val="（%1）"/>
      <w:lvlJc w:val="left"/>
    </w:lvl>
  </w:abstractNum>
  <w:abstractNum w:abstractNumId="7">
    <w:nsid w:val="57108FCB"/>
    <w:multiLevelType w:val="singleLevel"/>
    <w:tmpl w:val="57108FCB"/>
    <w:lvl w:ilvl="0" w:tentative="0">
      <w:start w:val="1"/>
      <w:numFmt w:val="decimal"/>
      <w:suff w:val="nothing"/>
      <w:lvlText w:val="（%1）"/>
      <w:lvlJc w:val="left"/>
    </w:lvl>
  </w:abstractNum>
  <w:num w:numId="1">
    <w:abstractNumId w:val="2"/>
  </w:num>
  <w:num w:numId="2">
    <w:abstractNumId w:val="4"/>
  </w:num>
  <w:num w:numId="3">
    <w:abstractNumId w:val="3"/>
  </w:num>
  <w:num w:numId="4">
    <w:abstractNumId w:val="1"/>
  </w:num>
  <w:num w:numId="5">
    <w:abstractNumId w:val="0"/>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2MjU2MzMxMTIyNzIyYTQyZjg1OTZhMmRkYzhlY2QifQ=="/>
  </w:docVars>
  <w:rsids>
    <w:rsidRoot w:val="009313B6"/>
    <w:rsid w:val="0062673E"/>
    <w:rsid w:val="006C7188"/>
    <w:rsid w:val="00744E14"/>
    <w:rsid w:val="009313B6"/>
    <w:rsid w:val="09A90CED"/>
    <w:rsid w:val="0DDD1661"/>
    <w:rsid w:val="0E287E4E"/>
    <w:rsid w:val="14F3735E"/>
    <w:rsid w:val="17611BBE"/>
    <w:rsid w:val="189977F1"/>
    <w:rsid w:val="1B6F6BDA"/>
    <w:rsid w:val="215050AD"/>
    <w:rsid w:val="27973C4C"/>
    <w:rsid w:val="32B8010D"/>
    <w:rsid w:val="35D46B3A"/>
    <w:rsid w:val="43BB6C43"/>
    <w:rsid w:val="457A2855"/>
    <w:rsid w:val="49577C28"/>
    <w:rsid w:val="53CB1124"/>
    <w:rsid w:val="557F51E9"/>
    <w:rsid w:val="67485358"/>
    <w:rsid w:val="67714A8F"/>
    <w:rsid w:val="6F1D1D09"/>
    <w:rsid w:val="75E41AB0"/>
    <w:rsid w:val="7603121F"/>
    <w:rsid w:val="7B347DEF"/>
    <w:rsid w:val="7B643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numPr>
        <w:ilvl w:val="0"/>
        <w:numId w:val="1"/>
      </w:numPr>
      <w:spacing w:before="340" w:after="330" w:line="578" w:lineRule="auto"/>
      <w:jc w:val="center"/>
      <w:outlineLvl w:val="0"/>
    </w:pPr>
    <w:rPr>
      <w:rFonts w:eastAsia="黑体"/>
      <w:b/>
      <w:bCs/>
      <w:kern w:val="44"/>
      <w:sz w:val="44"/>
      <w:szCs w:val="44"/>
    </w:rPr>
  </w:style>
  <w:style w:type="paragraph" w:styleId="4">
    <w:name w:val="heading 2"/>
    <w:basedOn w:val="3"/>
    <w:next w:val="1"/>
    <w:unhideWhenUsed/>
    <w:qFormat/>
    <w:uiPriority w:val="0"/>
    <w:pPr>
      <w:spacing w:before="260" w:after="260" w:line="413" w:lineRule="auto"/>
      <w:outlineLvl w:val="1"/>
    </w:pPr>
    <w:rPr>
      <w:rFonts w:ascii="Arial" w:hAnsi="Arial"/>
      <w:b w:val="0"/>
      <w:sz w:val="32"/>
    </w:rPr>
  </w:style>
  <w:style w:type="paragraph" w:styleId="5">
    <w:name w:val="heading 3"/>
    <w:basedOn w:val="1"/>
    <w:next w:val="1"/>
    <w:unhideWhenUsed/>
    <w:qFormat/>
    <w:uiPriority w:val="0"/>
    <w:pPr>
      <w:keepNext/>
      <w:keepLines/>
      <w:numPr>
        <w:ilvl w:val="2"/>
        <w:numId w:val="1"/>
      </w:numPr>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rPr>
      <w:rFonts w:hAnsi="Courier New" w:cs="Times New Roman"/>
      <w:szCs w:val="20"/>
      <w:lang w:eastAsia="en-US" w:bidi="en-US"/>
    </w:rPr>
  </w:style>
  <w:style w:type="paragraph" w:styleId="6">
    <w:name w:val="annotation text"/>
    <w:basedOn w:val="1"/>
    <w:qFormat/>
    <w:uiPriority w:val="0"/>
    <w:pPr>
      <w:jc w:val="left"/>
    </w:pPr>
  </w:style>
  <w:style w:type="paragraph" w:styleId="7">
    <w:name w:val="Body Text"/>
    <w:basedOn w:val="1"/>
    <w:next w:val="8"/>
    <w:unhideWhenUsed/>
    <w:qFormat/>
    <w:uiPriority w:val="99"/>
    <w:pPr>
      <w:spacing w:after="120"/>
    </w:pPr>
  </w:style>
  <w:style w:type="paragraph" w:styleId="8">
    <w:name w:val="Title"/>
    <w:basedOn w:val="1"/>
    <w:next w:val="1"/>
    <w:qFormat/>
    <w:uiPriority w:val="0"/>
    <w:pPr>
      <w:spacing w:before="240" w:after="60"/>
      <w:jc w:val="center"/>
      <w:outlineLvl w:val="0"/>
    </w:pPr>
    <w:rPr>
      <w:rFonts w:ascii="Arial" w:hAnsi="Arial" w:cs="Arial"/>
      <w:b/>
      <w:bCs/>
      <w:sz w:val="32"/>
      <w:szCs w:val="32"/>
    </w:rPr>
  </w:style>
  <w:style w:type="paragraph" w:styleId="9">
    <w:name w:val="Plain Text"/>
    <w:basedOn w:val="1"/>
    <w:next w:val="1"/>
    <w:qFormat/>
    <w:uiPriority w:val="99"/>
    <w:rPr>
      <w:rFonts w:ascii="宋体" w:hAnsi="Courier New"/>
      <w:kern w:val="0"/>
      <w:sz w:val="20"/>
      <w:szCs w:val="21"/>
    </w:rPr>
  </w:style>
  <w:style w:type="paragraph" w:styleId="10">
    <w:name w:val="Balloon Text"/>
    <w:basedOn w:val="1"/>
    <w:link w:val="17"/>
    <w:qFormat/>
    <w:uiPriority w:val="0"/>
    <w:rPr>
      <w:sz w:val="18"/>
      <w:szCs w:val="18"/>
    </w:rPr>
  </w:style>
  <w:style w:type="paragraph" w:styleId="11">
    <w:name w:val="footer"/>
    <w:basedOn w:val="1"/>
    <w:link w:val="20"/>
    <w:qFormat/>
    <w:uiPriority w:val="99"/>
    <w:pPr>
      <w:tabs>
        <w:tab w:val="center" w:pos="4153"/>
        <w:tab w:val="right" w:pos="8306"/>
      </w:tabs>
      <w:snapToGrid w:val="0"/>
      <w:jc w:val="left"/>
    </w:pPr>
    <w:rPr>
      <w:sz w:val="18"/>
      <w:szCs w:val="18"/>
    </w:rPr>
  </w:style>
  <w:style w:type="paragraph" w:styleId="12">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character" w:styleId="15">
    <w:name w:val="annotation reference"/>
    <w:basedOn w:val="14"/>
    <w:qFormat/>
    <w:uiPriority w:val="0"/>
    <w:rPr>
      <w:sz w:val="21"/>
      <w:szCs w:val="21"/>
    </w:rPr>
  </w:style>
  <w:style w:type="paragraph" w:customStyle="1" w:styleId="16">
    <w:name w:val="正文."/>
    <w:qFormat/>
    <w:uiPriority w:val="0"/>
    <w:pPr>
      <w:spacing w:line="300" w:lineRule="auto"/>
    </w:pPr>
    <w:rPr>
      <w:rFonts w:ascii="Arial" w:hAnsi="Arial" w:eastAsia="宋体" w:cs="Times New Roman"/>
      <w:sz w:val="21"/>
      <w:szCs w:val="21"/>
      <w:lang w:val="en-US" w:eastAsia="zh-CN" w:bidi="ar-SA"/>
    </w:rPr>
  </w:style>
  <w:style w:type="character" w:customStyle="1" w:styleId="17">
    <w:name w:val="批注框文本 字符"/>
    <w:basedOn w:val="14"/>
    <w:link w:val="10"/>
    <w:qFormat/>
    <w:uiPriority w:val="0"/>
    <w:rPr>
      <w:kern w:val="2"/>
      <w:sz w:val="18"/>
      <w:szCs w:val="18"/>
    </w:rPr>
  </w:style>
  <w:style w:type="paragraph" w:customStyle="1" w:styleId="18">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9">
    <w:name w:val="页眉 字符"/>
    <w:basedOn w:val="14"/>
    <w:link w:val="12"/>
    <w:qFormat/>
    <w:uiPriority w:val="0"/>
    <w:rPr>
      <w:kern w:val="2"/>
      <w:sz w:val="18"/>
      <w:szCs w:val="18"/>
    </w:rPr>
  </w:style>
  <w:style w:type="character" w:customStyle="1" w:styleId="20">
    <w:name w:val="页脚 字符"/>
    <w:basedOn w:val="14"/>
    <w:link w:val="11"/>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3988</Words>
  <Characters>4706</Characters>
  <Lines>41</Lines>
  <Paragraphs>11</Paragraphs>
  <TotalTime>36</TotalTime>
  <ScaleCrop>false</ScaleCrop>
  <LinksUpToDate>false</LinksUpToDate>
  <CharactersWithSpaces>4765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2024-09-25T00:59:00Z</dcterms:created>
  <dc:creator>admin</dc:creator>
  <cp:lastModifiedBy>秋秋</cp:lastModifiedBy>
  <cp:lastPrinted>2024-10-10T07:41:00Z</cp:lastPrinted>
  <dcterms:modified xsi:type="dcterms:W3CDTF">2024-10-21T13:07:50Z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3E6EB5B213494E2581CA0B01DAFF0355_12</vt:lpwstr>
  </property>
</Properties>
</file>