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B76D6">
      <w:pPr>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中山大学附属第一医院广西医院</w:t>
      </w:r>
    </w:p>
    <w:p w14:paraId="5537398A">
      <w:pPr>
        <w:pageBreakBefore w:val="0"/>
        <w:widowControl/>
        <w:kinsoku/>
        <w:wordWrap/>
        <w:overflowPunct/>
        <w:topLinePunct w:val="0"/>
        <w:autoSpaceDE/>
        <w:autoSpaceDN/>
        <w:bidi w:val="0"/>
        <w:adjustRightInd/>
        <w:snapToGrid/>
        <w:spacing w:before="0" w:after="0" w:line="240" w:lineRule="auto"/>
        <w:ind w:firstLine="0" w:firstLineChars="0"/>
        <w:jc w:val="center"/>
        <w:textAlignment w:val="auto"/>
        <w:rPr>
          <w:rFonts w:hint="default" w:ascii="宋体" w:hAnsi="宋体" w:eastAsia="方正小标宋简体" w:cs="宋体"/>
          <w:sz w:val="44"/>
          <w:szCs w:val="44"/>
          <w:lang w:val="en-US" w:eastAsia="zh-CN"/>
        </w:rPr>
      </w:pPr>
      <w:r>
        <w:rPr>
          <w:rFonts w:hint="eastAsia" w:ascii="方正小标宋简体" w:hAnsi="方正小标宋简体" w:eastAsia="方正小标宋简体" w:cs="方正小标宋简体"/>
          <w:b w:val="0"/>
          <w:bCs w:val="0"/>
          <w:sz w:val="44"/>
          <w:szCs w:val="44"/>
        </w:rPr>
        <w:t>电梯轿厢加装专用空调</w:t>
      </w:r>
      <w:r>
        <w:rPr>
          <w:rFonts w:hint="eastAsia" w:ascii="方正小标宋简体" w:hAnsi="方正小标宋简体" w:eastAsia="方正小标宋简体" w:cs="方正小标宋简体"/>
          <w:b w:val="0"/>
          <w:bCs w:val="0"/>
          <w:sz w:val="44"/>
          <w:szCs w:val="44"/>
          <w:lang w:val="en-US" w:eastAsia="zh-CN"/>
        </w:rPr>
        <w:t>需求及报价表</w:t>
      </w:r>
    </w:p>
    <w:p w14:paraId="11529B5F">
      <w:pPr>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具体安装方案如下：</w:t>
      </w:r>
    </w:p>
    <w:p w14:paraId="28101015">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一、加装的轿厢空调要求</w:t>
      </w:r>
    </w:p>
    <w:p w14:paraId="33AD3E2D">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高效节能、低噪音、无滴水、健康环保、使用安全方便；</w:t>
      </w:r>
    </w:p>
    <w:p w14:paraId="14901FBE">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保留轿厢顶通风风扇，因在冬春季节以及夜晚、停用电梯的时候，无需开空调，只需要开启能根据电梯状态自动启停的风扇；需加装按年月日时定时控制、温度控制，双模式控制器，需要的时候自动开启，不需要的时候，自动关闭。即实现有效使用，又实现管理节能。</w:t>
      </w:r>
    </w:p>
    <w:p w14:paraId="44ECFCA5">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因电梯顶上没有多余的孔洞，因此加装空调需另外开送风孔、回风孔；</w:t>
      </w:r>
    </w:p>
    <w:p w14:paraId="7487577F">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因电梯订货时，没有预留空调电缆，需重新拉空调专用随行电缆线，由于普通电缆较轻，抗拉、抗弯性能差，很容易折断、开裂，</w:t>
      </w:r>
      <w:r>
        <w:rPr>
          <w:rFonts w:hint="eastAsia" w:ascii="仿宋_GB2312" w:hAnsi="仿宋_GB2312" w:eastAsia="仿宋_GB2312" w:cs="仿宋_GB2312"/>
          <w:b w:val="0"/>
          <w:bCs w:val="0"/>
          <w:sz w:val="32"/>
          <w:szCs w:val="32"/>
          <w:lang w:val="en-US" w:eastAsia="zh-CN"/>
        </w:rPr>
        <w:t>需</w:t>
      </w:r>
      <w:r>
        <w:rPr>
          <w:rFonts w:hint="eastAsia" w:ascii="仿宋_GB2312" w:hAnsi="仿宋_GB2312" w:eastAsia="仿宋_GB2312" w:cs="仿宋_GB2312"/>
          <w:b w:val="0"/>
          <w:bCs w:val="0"/>
          <w:sz w:val="32"/>
          <w:szCs w:val="32"/>
        </w:rPr>
        <w:t>选用内部带2根钢丝的，橡胶扁形电缆；</w:t>
      </w:r>
    </w:p>
    <w:p w14:paraId="257AB538">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为避免因电梯空调漏电，造成电梯动力和照明电源跳闸，电梯空调电源必须并接电源上端。机房需加装空调专用漏电开关，轿顶增加空调专用插座，以及空调和风扇定时自动切换控制盒。</w:t>
      </w:r>
    </w:p>
    <w:p w14:paraId="793166ED">
      <w:pPr>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由于加装空调及电缆，相当于增加了轿厢的重量，实际造成电梯平衡系数改变，需增加与空调重量接近的对重铁，然后重新学习载重系数，测量平衡系数，如果平衡系数低了，继续增加对重铁，否则相反操作，确保平衡系数基本不变，保证电梯的安全和舒适感，延长使用寿命。</w:t>
      </w:r>
    </w:p>
    <w:p w14:paraId="2F9F7F23">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二、电梯空调加装主材型号参数</w:t>
      </w:r>
    </w:p>
    <w:tbl>
      <w:tblPr>
        <w:tblStyle w:val="15"/>
        <w:tblW w:w="850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2"/>
        <w:gridCol w:w="3522"/>
        <w:gridCol w:w="3028"/>
      </w:tblGrid>
      <w:tr w14:paraId="6627C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right"/>
        </w:trPr>
        <w:tc>
          <w:tcPr>
            <w:tcW w:w="1952" w:type="dxa"/>
          </w:tcPr>
          <w:p w14:paraId="3D1D9DD0">
            <w:pPr>
              <w:keepNext w:val="0"/>
              <w:keepLines w:val="0"/>
              <w:pageBreakBefore w:val="0"/>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主材名称</w:t>
            </w:r>
          </w:p>
        </w:tc>
        <w:tc>
          <w:tcPr>
            <w:tcW w:w="3522" w:type="dxa"/>
          </w:tcPr>
          <w:p w14:paraId="598509AB">
            <w:pPr>
              <w:keepNext w:val="0"/>
              <w:keepLines w:val="0"/>
              <w:pageBreakBefore w:val="0"/>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参考品牌型号</w:t>
            </w:r>
          </w:p>
        </w:tc>
        <w:tc>
          <w:tcPr>
            <w:tcW w:w="3028" w:type="dxa"/>
          </w:tcPr>
          <w:p w14:paraId="2273E0A2">
            <w:pPr>
              <w:keepNext w:val="0"/>
              <w:keepLines w:val="0"/>
              <w:pageBreakBefore w:val="0"/>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备注</w:t>
            </w:r>
          </w:p>
        </w:tc>
      </w:tr>
      <w:tr w14:paraId="3336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52" w:type="dxa"/>
            <w:noWrap/>
          </w:tcPr>
          <w:p w14:paraId="1C2B58C4">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电梯专用空调</w:t>
            </w:r>
          </w:p>
        </w:tc>
        <w:tc>
          <w:tcPr>
            <w:tcW w:w="3522" w:type="dxa"/>
            <w:noWrap/>
          </w:tcPr>
          <w:p w14:paraId="3164B426">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菱伴、博士、菱胜、TCL、松下</w:t>
            </w:r>
          </w:p>
          <w:p w14:paraId="3C7DD95C">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东芝</w:t>
            </w:r>
          </w:p>
        </w:tc>
        <w:tc>
          <w:tcPr>
            <w:tcW w:w="3028" w:type="dxa"/>
          </w:tcPr>
          <w:p w14:paraId="34A8997C">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必须通过3C认证，提供试验报告</w:t>
            </w:r>
          </w:p>
        </w:tc>
      </w:tr>
      <w:tr w14:paraId="12BF1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952" w:type="dxa"/>
            <w:noWrap/>
          </w:tcPr>
          <w:p w14:paraId="165D6FA6">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空调电缆</w:t>
            </w:r>
          </w:p>
        </w:tc>
        <w:tc>
          <w:tcPr>
            <w:tcW w:w="3522" w:type="dxa"/>
            <w:noWrap/>
          </w:tcPr>
          <w:p w14:paraId="7C6245E4">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TVVBG3*2.5，</w:t>
            </w:r>
          </w:p>
          <w:p w14:paraId="4B5C91FB">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电缆内带2根钢丝绳</w:t>
            </w:r>
          </w:p>
        </w:tc>
        <w:tc>
          <w:tcPr>
            <w:tcW w:w="3028" w:type="dxa"/>
          </w:tcPr>
          <w:p w14:paraId="33DAB2E9">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按实际长度定制</w:t>
            </w:r>
          </w:p>
        </w:tc>
      </w:tr>
      <w:tr w14:paraId="5911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right"/>
        </w:trPr>
        <w:tc>
          <w:tcPr>
            <w:tcW w:w="1952" w:type="dxa"/>
            <w:noWrap/>
            <w:vAlign w:val="center"/>
          </w:tcPr>
          <w:p w14:paraId="1C3A0B22">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对重钢板</w:t>
            </w:r>
          </w:p>
        </w:tc>
        <w:tc>
          <w:tcPr>
            <w:tcW w:w="3522" w:type="dxa"/>
            <w:noWrap/>
            <w:vAlign w:val="center"/>
          </w:tcPr>
          <w:p w14:paraId="1B1A411E">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由于加装空调，造成电梯平衡系数改变，需增加相当重量的对重钢板，外形尺寸必须按照原来的尺寸。</w:t>
            </w:r>
          </w:p>
        </w:tc>
        <w:tc>
          <w:tcPr>
            <w:tcW w:w="3028" w:type="dxa"/>
            <w:vAlign w:val="center"/>
          </w:tcPr>
          <w:p w14:paraId="1614B4B0">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按形状、重量定制</w:t>
            </w:r>
          </w:p>
        </w:tc>
      </w:tr>
      <w:tr w14:paraId="51D8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right"/>
        </w:trPr>
        <w:tc>
          <w:tcPr>
            <w:tcW w:w="1952" w:type="dxa"/>
          </w:tcPr>
          <w:p w14:paraId="6E832AB2">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成型槽钢</w:t>
            </w:r>
          </w:p>
        </w:tc>
        <w:tc>
          <w:tcPr>
            <w:tcW w:w="3522" w:type="dxa"/>
            <w:noWrap/>
          </w:tcPr>
          <w:p w14:paraId="7F3B02C2">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C型槽钢410*210*2.5</w:t>
            </w:r>
          </w:p>
        </w:tc>
        <w:tc>
          <w:tcPr>
            <w:tcW w:w="3028" w:type="dxa"/>
          </w:tcPr>
          <w:p w14:paraId="2011DEE4">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按安装方式定制，轿厢尺寸不同，定制不同</w:t>
            </w:r>
          </w:p>
        </w:tc>
      </w:tr>
      <w:tr w14:paraId="6F25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right"/>
        </w:trPr>
        <w:tc>
          <w:tcPr>
            <w:tcW w:w="1952" w:type="dxa"/>
          </w:tcPr>
          <w:p w14:paraId="29529001">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紧固件</w:t>
            </w:r>
          </w:p>
        </w:tc>
        <w:tc>
          <w:tcPr>
            <w:tcW w:w="3522" w:type="dxa"/>
            <w:noWrap/>
          </w:tcPr>
          <w:p w14:paraId="18185BA5">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B5783/M8X25+PA+TA+LA</w:t>
            </w:r>
          </w:p>
        </w:tc>
        <w:tc>
          <w:tcPr>
            <w:tcW w:w="3028" w:type="dxa"/>
          </w:tcPr>
          <w:p w14:paraId="044820F5">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标准</w:t>
            </w:r>
          </w:p>
        </w:tc>
      </w:tr>
      <w:tr w14:paraId="4B8A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right"/>
        </w:trPr>
        <w:tc>
          <w:tcPr>
            <w:tcW w:w="1952" w:type="dxa"/>
          </w:tcPr>
          <w:p w14:paraId="7D0A2919">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开送风孔及回风孔</w:t>
            </w:r>
          </w:p>
        </w:tc>
        <w:tc>
          <w:tcPr>
            <w:tcW w:w="3522" w:type="dxa"/>
            <w:noWrap/>
            <w:vAlign w:val="center"/>
          </w:tcPr>
          <w:p w14:paraId="7B5C4334">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w:t>
            </w:r>
          </w:p>
        </w:tc>
        <w:tc>
          <w:tcPr>
            <w:tcW w:w="3028" w:type="dxa"/>
            <w:vAlign w:val="center"/>
          </w:tcPr>
          <w:p w14:paraId="511EC0A8">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按现场位置、尺寸定制开孔</w:t>
            </w:r>
          </w:p>
        </w:tc>
      </w:tr>
      <w:tr w14:paraId="6C35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right"/>
        </w:trPr>
        <w:tc>
          <w:tcPr>
            <w:tcW w:w="1952" w:type="dxa"/>
          </w:tcPr>
          <w:p w14:paraId="4F12724F">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漏电开关</w:t>
            </w:r>
          </w:p>
        </w:tc>
        <w:tc>
          <w:tcPr>
            <w:tcW w:w="3522" w:type="dxa"/>
            <w:noWrap/>
          </w:tcPr>
          <w:p w14:paraId="56781835">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（2P 16A）</w:t>
            </w:r>
          </w:p>
        </w:tc>
        <w:tc>
          <w:tcPr>
            <w:tcW w:w="3028" w:type="dxa"/>
          </w:tcPr>
          <w:p w14:paraId="6CF538C4">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标准</w:t>
            </w:r>
          </w:p>
        </w:tc>
      </w:tr>
      <w:tr w14:paraId="6632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right"/>
        </w:trPr>
        <w:tc>
          <w:tcPr>
            <w:tcW w:w="1952" w:type="dxa"/>
          </w:tcPr>
          <w:p w14:paraId="41F856D5">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空调专用插座</w:t>
            </w:r>
          </w:p>
        </w:tc>
        <w:tc>
          <w:tcPr>
            <w:tcW w:w="3522" w:type="dxa"/>
            <w:noWrap/>
          </w:tcPr>
          <w:p w14:paraId="646D19B5">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16A</w:t>
            </w:r>
          </w:p>
        </w:tc>
        <w:tc>
          <w:tcPr>
            <w:tcW w:w="3028" w:type="dxa"/>
          </w:tcPr>
          <w:p w14:paraId="0DEC17C8">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标准</w:t>
            </w:r>
          </w:p>
        </w:tc>
      </w:tr>
      <w:tr w14:paraId="2C15F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right"/>
        </w:trPr>
        <w:tc>
          <w:tcPr>
            <w:tcW w:w="1952" w:type="dxa"/>
          </w:tcPr>
          <w:p w14:paraId="4E6CE6DF">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定时自动切换控制盒</w:t>
            </w:r>
          </w:p>
        </w:tc>
        <w:tc>
          <w:tcPr>
            <w:tcW w:w="3522" w:type="dxa"/>
            <w:noWrap/>
            <w:vAlign w:val="center"/>
          </w:tcPr>
          <w:p w14:paraId="07FA21D8">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3028" w:type="dxa"/>
          </w:tcPr>
          <w:p w14:paraId="36DA1686">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按</w:t>
            </w:r>
            <w:r>
              <w:rPr>
                <w:rFonts w:hint="eastAsia" w:ascii="仿宋_GB2312" w:hAnsi="仿宋_GB2312" w:eastAsia="仿宋_GB2312" w:cs="仿宋_GB2312"/>
                <w:sz w:val="24"/>
                <w:szCs w:val="24"/>
              </w:rPr>
              <w:t>照定时及温度切换控制要求定制</w:t>
            </w:r>
          </w:p>
        </w:tc>
      </w:tr>
      <w:tr w14:paraId="05C1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right"/>
        </w:trPr>
        <w:tc>
          <w:tcPr>
            <w:tcW w:w="1952" w:type="dxa"/>
          </w:tcPr>
          <w:p w14:paraId="4A7D434F">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加装费含辅助材料</w:t>
            </w:r>
          </w:p>
        </w:tc>
        <w:tc>
          <w:tcPr>
            <w:tcW w:w="3522" w:type="dxa"/>
            <w:noWrap/>
            <w:vAlign w:val="center"/>
          </w:tcPr>
          <w:p w14:paraId="7AC8E65D">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一批</w:t>
            </w:r>
          </w:p>
        </w:tc>
        <w:tc>
          <w:tcPr>
            <w:tcW w:w="3028" w:type="dxa"/>
            <w:vAlign w:val="center"/>
          </w:tcPr>
          <w:p w14:paraId="5B4D8CEE">
            <w:pPr>
              <w:keepNext w:val="0"/>
              <w:keepLines w:val="0"/>
              <w:pageBreakBefore w:val="0"/>
              <w:widowControl/>
              <w:kinsoku/>
              <w:wordWrap/>
              <w:overflowPunct/>
              <w:topLinePunct w:val="0"/>
              <w:autoSpaceDE/>
              <w:autoSpaceDN/>
              <w:bidi w:val="0"/>
              <w:adjustRightInd/>
              <w:snapToGrid/>
              <w:spacing w:before="0" w:after="0" w:line="520" w:lineRule="exact"/>
              <w:ind w:firstLine="0" w:firstLineChars="0"/>
              <w:jc w:val="center"/>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根据安装方式，实际需要定制</w:t>
            </w:r>
          </w:p>
        </w:tc>
      </w:tr>
    </w:tbl>
    <w:p w14:paraId="35AD7375">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三、加装空调型号及技术参数</w:t>
      </w:r>
    </w:p>
    <w:p w14:paraId="0BC52E0B">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空调品牌要求：菱伴、博士、菱胜、TCL、松下、东芝</w:t>
      </w:r>
    </w:p>
    <w:p w14:paraId="08BE1294">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单冷，1.5匹12台，额定制冷量3500W，额定制冷输入功率1350W; 额定制冷输入电流6A;额定电压220v/50Hz；压缩机品牌：松下、格力、TCL；低压/吸气侧允许压力1. 5MPa；高压/排气侧允许压力3. 0Mpa；低压侧允许工作过压1. 5MPa；制冷剂R22/1050g；循环风量：360~460㎡/h；噪声55dB(A); 防触电保护类别：I类；质量60kg；适用电梯1350-2000kg；</w:t>
      </w:r>
    </w:p>
    <w:p w14:paraId="244DFB00">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单冷，1.0匹</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台，额定制冷量2500W，额定制冷输入功率930W; 额定制冷输入电流4.6A; 额定电压220v/50Hz；压缩机品牌：松下、格力、TCL；低压/吸气侧允许压力1.5MPa；高压/排气侧允许压力3.0Mpa；低压侧允许工作过压1.5MPa；制冷剂R22/520g；循环风量：360~436㎡/h；噪声48dB(A); 防触电保护类别：I类；质量30kg；适用电梯630-1050kg；</w:t>
      </w:r>
    </w:p>
    <w:p w14:paraId="14F24533">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报价时提供产品能效等级符合要求证明和压缩机品牌符合要求证明，否则</w:t>
      </w:r>
      <w:r>
        <w:rPr>
          <w:rFonts w:hint="eastAsia" w:ascii="仿宋_GB2312" w:hAnsi="仿宋_GB2312" w:eastAsia="仿宋_GB2312" w:cs="仿宋_GB2312"/>
          <w:sz w:val="32"/>
          <w:szCs w:val="32"/>
          <w:lang w:val="en-US" w:eastAsia="zh-CN"/>
        </w:rPr>
        <w:t>响应报价</w:t>
      </w:r>
      <w:r>
        <w:rPr>
          <w:rFonts w:hint="eastAsia" w:ascii="仿宋_GB2312" w:hAnsi="仿宋_GB2312" w:eastAsia="仿宋_GB2312" w:cs="仿宋_GB2312"/>
          <w:sz w:val="32"/>
          <w:szCs w:val="32"/>
        </w:rPr>
        <w:t>无效。</w:t>
      </w:r>
    </w:p>
    <w:p w14:paraId="4C73193F">
      <w:pPr>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空调主机安装</w:t>
      </w:r>
    </w:p>
    <w:p w14:paraId="5E38D785">
      <w:pPr>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安装步骤</w:t>
      </w:r>
    </w:p>
    <w:p w14:paraId="27979496">
      <w:pPr>
        <w:ind w:firstLine="420"/>
      </w:pPr>
      <w:r>
        <w:rPr>
          <w:rFonts w:hint="eastAsia"/>
        </w:rPr>
        <w:drawing>
          <wp:inline distT="0" distB="0" distL="0" distR="0">
            <wp:extent cx="5039995" cy="3115310"/>
            <wp:effectExtent l="0" t="0" r="8255" b="8890"/>
            <wp:docPr id="45" name="图片 45"/>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39995" cy="3115310"/>
                    </a:xfrm>
                    <a:prstGeom prst="rect">
                      <a:avLst/>
                    </a:prstGeom>
                    <a:noFill/>
                    <a:ln>
                      <a:noFill/>
                    </a:ln>
                  </pic:spPr>
                </pic:pic>
              </a:graphicData>
            </a:graphic>
          </wp:inline>
        </w:drawing>
      </w:r>
    </w:p>
    <w:p w14:paraId="645AC08E">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安装位置的确定</w:t>
      </w:r>
    </w:p>
    <w:p w14:paraId="63086F89">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主机必须直接固定或通过支架固定在电梯上梁，不可与护拦或轿顶等有钢性接触；</w:t>
      </w:r>
    </w:p>
    <w:p w14:paraId="37E60FFF">
      <w:pPr>
        <w:ind w:firstLine="562"/>
        <w:rPr>
          <w:rFonts w:ascii="黑体" w:eastAsia="黑体"/>
          <w:b/>
          <w:bCs/>
          <w:sz w:val="28"/>
        </w:rPr>
      </w:pPr>
      <w:r>
        <w:rPr>
          <w:rFonts w:hint="eastAsia" w:ascii="黑体" w:eastAsia="黑体"/>
          <w:b/>
          <w:bCs/>
          <w:sz w:val="28"/>
        </w:rPr>
        <w:drawing>
          <wp:inline distT="0" distB="0" distL="0" distR="0">
            <wp:extent cx="3239770" cy="2232025"/>
            <wp:effectExtent l="0" t="0" r="17780" b="15875"/>
            <wp:docPr id="48" name="图片 48"/>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239770" cy="2232025"/>
                    </a:xfrm>
                    <a:prstGeom prst="rect">
                      <a:avLst/>
                    </a:prstGeom>
                    <a:noFill/>
                    <a:ln>
                      <a:noFill/>
                    </a:ln>
                  </pic:spPr>
                </pic:pic>
              </a:graphicData>
            </a:graphic>
          </wp:inline>
        </w:drawing>
      </w:r>
    </w:p>
    <w:p w14:paraId="4D649FCC">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20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保证轿顶所必须的站人空间（大于等于0.12m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），高度应满足电梯安全规范，同时也要方便空调器自身的维护保养；</w:t>
      </w:r>
    </w:p>
    <w:p w14:paraId="655904E1">
      <w:pPr>
        <w:ind w:firstLine="560"/>
        <w:rPr>
          <w:rFonts w:ascii="宋体" w:hAnsi="宋体"/>
          <w:sz w:val="28"/>
        </w:rPr>
      </w:pPr>
      <w:r>
        <w:rPr>
          <w:rFonts w:hint="eastAsia" w:ascii="宋体" w:hAnsi="宋体"/>
          <w:sz w:val="28"/>
        </w:rPr>
        <w:drawing>
          <wp:inline distT="0" distB="0" distL="0" distR="0">
            <wp:extent cx="3239770" cy="2160270"/>
            <wp:effectExtent l="0" t="0" r="17780" b="11430"/>
            <wp:docPr id="47" name="图片 47"/>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239770" cy="2160270"/>
                    </a:xfrm>
                    <a:prstGeom prst="rect">
                      <a:avLst/>
                    </a:prstGeom>
                    <a:noFill/>
                    <a:ln>
                      <a:noFill/>
                    </a:ln>
                  </pic:spPr>
                </pic:pic>
              </a:graphicData>
            </a:graphic>
          </wp:inline>
        </w:drawing>
      </w:r>
    </w:p>
    <w:p w14:paraId="324B5D3E">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为保证良好的制冷效果，空调器散热侧进出风道应通畅无阻碍；</w:t>
      </w:r>
    </w:p>
    <w:p w14:paraId="1B000B51">
      <w:pPr>
        <w:ind w:firstLine="560"/>
        <w:rPr>
          <w:rFonts w:ascii="宋体" w:hAnsi="宋体"/>
          <w:sz w:val="28"/>
        </w:rPr>
      </w:pPr>
      <w:r>
        <w:rPr>
          <w:rFonts w:hint="eastAsia" w:ascii="宋体" w:hAnsi="宋体"/>
          <w:sz w:val="28"/>
        </w:rPr>
        <w:drawing>
          <wp:inline distT="0" distB="0" distL="0" distR="0">
            <wp:extent cx="3239770" cy="2160270"/>
            <wp:effectExtent l="0" t="0" r="17780" b="11430"/>
            <wp:docPr id="46" name="图片 46"/>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239770" cy="2160270"/>
                    </a:xfrm>
                    <a:prstGeom prst="rect">
                      <a:avLst/>
                    </a:prstGeom>
                    <a:noFill/>
                    <a:ln>
                      <a:noFill/>
                    </a:ln>
                  </pic:spPr>
                </pic:pic>
              </a:graphicData>
            </a:graphic>
          </wp:inline>
        </w:drawing>
      </w:r>
    </w:p>
    <w:p w14:paraId="7EADFC03">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通风软管尽可能短，弯角尽量少，弯曲半径不能过小，软管转弯半径不小于28cm；</w:t>
      </w:r>
    </w:p>
    <w:p w14:paraId="76953D3B">
      <w:pPr>
        <w:ind w:firstLine="560"/>
        <w:rPr>
          <w:rFonts w:ascii="宋体" w:hAnsi="宋体"/>
          <w:sz w:val="28"/>
        </w:rPr>
      </w:pPr>
      <w:r>
        <w:rPr>
          <w:rFonts w:hint="eastAsia" w:ascii="宋体" w:hAnsi="宋体"/>
          <w:sz w:val="28"/>
        </w:rPr>
        <w:drawing>
          <wp:inline distT="0" distB="0" distL="0" distR="0">
            <wp:extent cx="3239770" cy="2160270"/>
            <wp:effectExtent l="0" t="0" r="17780" b="11430"/>
            <wp:docPr id="51" name="图片 5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239770" cy="2160270"/>
                    </a:xfrm>
                    <a:prstGeom prst="rect">
                      <a:avLst/>
                    </a:prstGeom>
                    <a:noFill/>
                    <a:ln>
                      <a:noFill/>
                    </a:ln>
                  </pic:spPr>
                </pic:pic>
              </a:graphicData>
            </a:graphic>
          </wp:inline>
        </w:drawing>
      </w:r>
    </w:p>
    <w:p w14:paraId="638E10EA">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五、空调器的送风口</w:t>
      </w:r>
    </w:p>
    <w:p w14:paraId="06898A7A">
      <w:pPr>
        <w:pStyle w:val="20"/>
        <w:keepNext w:val="0"/>
        <w:keepLines w:val="0"/>
        <w:pageBreakBefore w:val="0"/>
        <w:widowControl w:val="0"/>
        <w:kinsoku/>
        <w:wordWrap/>
        <w:overflowPunct/>
        <w:topLinePunct w:val="0"/>
        <w:autoSpaceDE/>
        <w:autoSpaceDN/>
        <w:bidi w:val="0"/>
        <w:adjustRightInd/>
        <w:snapToGrid/>
        <w:spacing w:before="0" w:after="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轿顶原设计没有送风孔、回风孔。安装空调时，需现场开孔，装上送风罩、回风罩，由承包方完成开孔和处理。开孔后，周围需粘贴保温棉，防止有水产生，形成结露。</w:t>
      </w:r>
    </w:p>
    <w:p w14:paraId="271706E4">
      <w:pPr>
        <w:pStyle w:val="20"/>
        <w:keepNext w:val="0"/>
        <w:keepLines w:val="0"/>
        <w:pageBreakBefore w:val="0"/>
        <w:widowControl w:val="0"/>
        <w:kinsoku/>
        <w:wordWrap/>
        <w:overflowPunct/>
        <w:topLinePunct w:val="0"/>
        <w:autoSpaceDE/>
        <w:autoSpaceDN/>
        <w:bidi w:val="0"/>
        <w:adjustRightInd/>
        <w:snapToGrid/>
        <w:spacing w:before="0" w:after="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送风口离空调器要近，连接转弯要少，以尽量减少流动阻力，截面积应在130cm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以上。</w:t>
      </w:r>
    </w:p>
    <w:p w14:paraId="39EDFDAE">
      <w:pPr>
        <w:pStyle w:val="20"/>
        <w:keepNext w:val="0"/>
        <w:keepLines w:val="0"/>
        <w:pageBreakBefore w:val="0"/>
        <w:widowControl w:val="0"/>
        <w:kinsoku/>
        <w:wordWrap/>
        <w:overflowPunct/>
        <w:topLinePunct w:val="0"/>
        <w:autoSpaceDE/>
        <w:autoSpaceDN/>
        <w:bidi w:val="0"/>
        <w:adjustRightInd/>
        <w:snapToGrid/>
        <w:spacing w:before="0" w:after="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出风口位置选择要避免空调器吹出来的冷风，在轿顶装饰板夹层内小循环后，又被抽回空调器内。</w:t>
      </w:r>
    </w:p>
    <w:p w14:paraId="656CC774">
      <w:pPr>
        <w:pStyle w:val="20"/>
        <w:keepNext w:val="0"/>
        <w:keepLines w:val="0"/>
        <w:pageBreakBefore w:val="0"/>
        <w:widowControl w:val="0"/>
        <w:kinsoku/>
        <w:wordWrap/>
        <w:overflowPunct/>
        <w:topLinePunct w:val="0"/>
        <w:autoSpaceDE/>
        <w:autoSpaceDN/>
        <w:bidi w:val="0"/>
        <w:adjustRightInd/>
        <w:snapToGrid/>
        <w:spacing w:before="0" w:after="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出风口根据电梯的特点，选择出风口类型：</w:t>
      </w:r>
    </w:p>
    <w:p w14:paraId="2237CEA0">
      <w:pPr>
        <w:keepNext w:val="0"/>
        <w:keepLines w:val="0"/>
        <w:pageBreakBefore w:val="0"/>
        <w:widowControl w:val="0"/>
        <w:kinsoku/>
        <w:wordWrap/>
        <w:overflowPunct/>
        <w:topLinePunct w:val="0"/>
        <w:autoSpaceDE/>
        <w:autoSpaceDN/>
        <w:bidi w:val="0"/>
        <w:adjustRightInd/>
        <w:snapToGrid/>
        <w:spacing w:before="0" w:after="0" w:line="560" w:lineRule="exact"/>
        <w:ind w:firstLine="702" w:firstLineChars="19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val="0"/>
          <w:bCs/>
          <w:spacing w:val="20"/>
          <w:sz w:val="32"/>
          <w:szCs w:val="32"/>
        </w:rPr>
        <w:t>沿轿壁出风</w:t>
      </w:r>
      <w:r>
        <w:rPr>
          <w:rFonts w:hint="eastAsia" w:ascii="仿宋_GB2312" w:hAnsi="仿宋_GB2312" w:eastAsia="仿宋_GB2312" w:cs="仿宋_GB2312"/>
          <w:bCs/>
          <w:sz w:val="32"/>
          <w:szCs w:val="32"/>
        </w:rPr>
        <w:t>冷风从轿壁和吊顶之间沿轿壁吹下来，单边出风。</w:t>
      </w:r>
    </w:p>
    <w:p w14:paraId="6DBCFD11">
      <w:pPr>
        <w:spacing w:before="0" w:after="0"/>
        <w:ind w:firstLine="546" w:firstLineChars="195"/>
        <w:rPr>
          <w:rFonts w:ascii="宋体" w:hAnsi="宋体" w:eastAsia="宋体" w:cs="宋体"/>
          <w:bCs/>
          <w:sz w:val="28"/>
          <w:szCs w:val="28"/>
        </w:rPr>
      </w:pPr>
      <w:r>
        <w:rPr>
          <w:rFonts w:hint="eastAsia" w:ascii="宋体" w:hAnsi="宋体"/>
          <w:sz w:val="28"/>
        </w:rPr>
        <w:drawing>
          <wp:inline distT="0" distB="0" distL="0" distR="0">
            <wp:extent cx="3239770" cy="1979930"/>
            <wp:effectExtent l="0" t="0" r="17780" b="1270"/>
            <wp:docPr id="52" name="图片 52"/>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39770" cy="1979930"/>
                    </a:xfrm>
                    <a:prstGeom prst="rect">
                      <a:avLst/>
                    </a:prstGeom>
                    <a:noFill/>
                    <a:ln>
                      <a:noFill/>
                    </a:ln>
                  </pic:spPr>
                </pic:pic>
              </a:graphicData>
            </a:graphic>
          </wp:inline>
        </w:drawing>
      </w:r>
    </w:p>
    <w:p w14:paraId="053BF24D">
      <w:pPr>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六、空调器的回风口</w:t>
      </w:r>
    </w:p>
    <w:p w14:paraId="34E45A86">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轿顶的回风口离空调器的回风口距离要近，连接转弯要少，截面积应在170cm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以，回风口与轿厢内部要连通，截面积应在250cm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以上。</w:t>
      </w:r>
    </w:p>
    <w:p w14:paraId="18A9DDC5">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轿顶板出风口的选定：在轿顶另开出风孔。</w:t>
      </w:r>
    </w:p>
    <w:p w14:paraId="1D7AAA50">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出风孔周围隔热处理：清洁轿顶出风孔上下两面的灰尘，然后贴10mm厚隔热海绵，以避免轿顶出风孔周围凝露,同时在固定出风罩时也起到密封作用。送风通道隔热处理：在轿顶出风孔下部可能被冷风吹到的轿壁及吊顶表面贴5mm厚隔热海绵，在长方形孔的两头贴20mm厚隔热海绵，并使之形成一个筒形导风通道，使冷风可从该通道直接吹至轿厢内，从而避免冷风吹到吊顶上部后被回风孔直接吸回，也防止了轿壁及吊顶表面凝露。</w:t>
      </w:r>
    </w:p>
    <w:p w14:paraId="76875BF1">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空调器出风罩的安装在轿顶出风孔两边打两个Φ4.2小孔，攻M5螺丝，在隔热海绵上固定出风罩。</w:t>
      </w:r>
    </w:p>
    <w:p w14:paraId="50D5D7F3">
      <w:pPr>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电梯空调的设计是从轿厢内回风，同时也会从井道里吸入部分新风。安装回风帽时，首先应在轿顶板上离空调器回风口最近的位置开一个Φ148mm的圆形进风孔，然后用三个M5螺丝将进风帽固定在进风孔正上方。进风帽安装好后一定要保证轿厢内的空气能顺畅地从吊顶四周间隙吸至吊顶上部空间，且间隙的通风面积不得小于250c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4419600</wp:posOffset>
                </wp:positionH>
                <wp:positionV relativeFrom="paragraph">
                  <wp:posOffset>594360</wp:posOffset>
                </wp:positionV>
                <wp:extent cx="0" cy="297180"/>
                <wp:effectExtent l="9525" t="13335" r="9525" b="13335"/>
                <wp:wrapNone/>
                <wp:docPr id="94" name="直接连接符 94"/>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19050">
                          <a:solidFill>
                            <a:srgbClr val="FFFFFF"/>
                          </a:solidFill>
                          <a:round/>
                        </a:ln>
                        <a:effectLst/>
                      </wps:spPr>
                      <wps:bodyPr/>
                    </wps:wsp>
                  </a:graphicData>
                </a:graphic>
              </wp:anchor>
            </w:drawing>
          </mc:Choice>
          <mc:Fallback>
            <w:pict>
              <v:line id="_x0000_s1026" o:spid="_x0000_s1026" o:spt="20" style="position:absolute;left:0pt;margin-left:348pt;margin-top:46.8pt;height:23.4pt;width:0pt;z-index:251660288;mso-width-relative:page;mso-height-relative:page;" filled="f" stroked="t" coordsize="21600,21600" o:gfxdata="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iS&#10;9hfYAAAACgEAAA8AAAAAAAAAAQAgAAAAIgAAAGRycy9kb3ducmV2LnhtbFBLAQIUABQAAAAIAIdO&#10;4kBH7Xro6gEAALoDAAAOAAAAAAAAAAEAIAAAACcBAABkcnMvZTJvRG9jLnhtbFBLBQYAAAAABgAG&#10;AFkBAACDBQAAAAA=&#10;">
                <v:fill on="f" focussize="0,0"/>
                <v:stroke weight="1.5pt" color="#FFFFFF" joinstyle="round"/>
                <v:imagedata o:title=""/>
                <o:lock v:ext="edit" aspectratio="f"/>
              </v:line>
            </w:pict>
          </mc:Fallback>
        </mc:AlternateContent>
      </w:r>
      <w:r>
        <w:rPr>
          <w:rFonts w:hint="eastAsia" w:ascii="仿宋_GB2312" w:hAnsi="仿宋_GB2312" w:eastAsia="仿宋_GB2312" w:cs="仿宋_GB2312"/>
          <w:sz w:val="32"/>
          <w:szCs w:val="32"/>
        </w:rPr>
        <w:t>用出风罩作为回风帽使用，如下图所示：</w:t>
      </w:r>
    </w:p>
    <w:p w14:paraId="1C598099">
      <w:pPr>
        <w:ind w:firstLine="420"/>
        <w:rPr>
          <w:rFonts w:hint="eastAsia" w:ascii="宋体" w:hAnsi="宋体"/>
          <w:szCs w:val="21"/>
        </w:rPr>
      </w:pPr>
      <w:r>
        <w:rPr>
          <w:rFonts w:hint="eastAsia" w:ascii="宋体" w:hAnsi="宋体"/>
          <w:szCs w:val="21"/>
        </w:rPr>
        <w:drawing>
          <wp:inline distT="0" distB="0" distL="0" distR="0">
            <wp:extent cx="2520315" cy="1800225"/>
            <wp:effectExtent l="0" t="0" r="13335" b="9525"/>
            <wp:docPr id="92" name="图片 92"/>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20315" cy="1800225"/>
                    </a:xfrm>
                    <a:prstGeom prst="rect">
                      <a:avLst/>
                    </a:prstGeom>
                    <a:noFill/>
                    <a:ln>
                      <a:noFill/>
                    </a:ln>
                  </pic:spPr>
                </pic:pic>
              </a:graphicData>
            </a:graphic>
          </wp:inline>
        </w:drawing>
      </w:r>
      <w:r>
        <w:rPr>
          <w:rFonts w:hint="eastAsia" w:ascii="宋体" w:hAnsi="宋体"/>
          <w:szCs w:val="21"/>
        </w:rPr>
        <w:t xml:space="preserve">   </w:t>
      </w:r>
      <w:r>
        <w:rPr>
          <w:rFonts w:hint="eastAsia" w:ascii="宋体" w:hAnsi="宋体"/>
          <w:szCs w:val="21"/>
        </w:rPr>
        <w:drawing>
          <wp:inline distT="0" distB="0" distL="0" distR="0">
            <wp:extent cx="2520315" cy="1800225"/>
            <wp:effectExtent l="0" t="0" r="13335" b="9525"/>
            <wp:docPr id="91" name="图片 9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520315" cy="1800225"/>
                    </a:xfrm>
                    <a:prstGeom prst="rect">
                      <a:avLst/>
                    </a:prstGeom>
                    <a:noFill/>
                    <a:ln>
                      <a:noFill/>
                    </a:ln>
                  </pic:spPr>
                </pic:pic>
              </a:graphicData>
            </a:graphic>
          </wp:inline>
        </w:drawing>
      </w:r>
    </w:p>
    <w:p w14:paraId="31499048">
      <w:pPr>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七、空调主机的固定</w:t>
      </w:r>
    </w:p>
    <w:p w14:paraId="5C84316E">
      <w:pPr>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主机可以直接固定在电梯上梁，也可通过支架固定在上梁，不可固定在轿顶的其它部件上。空调固定要牢固，并且要保持水平，不可倾斜，避免冷凝水溢出。</w:t>
      </w:r>
    </w:p>
    <w:p w14:paraId="596F6312">
      <w:pPr>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八、通风管的连接</w:t>
      </w:r>
    </w:p>
    <w:p w14:paraId="778E6FE5">
      <w:pPr>
        <w:pageBreakBefore w:val="0"/>
        <w:widowControl w:val="0"/>
        <w:kinsoku/>
        <w:wordWrap/>
        <w:overflowPunct/>
        <w:topLinePunct w:val="0"/>
        <w:autoSpaceDE/>
        <w:autoSpaceDN/>
        <w:bidi w:val="0"/>
        <w:adjustRightInd/>
        <w:snapToGrid/>
        <w:spacing w:before="0" w:after="0" w:line="560" w:lineRule="exact"/>
        <w:ind w:firstLine="56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隔热管用于空调器进出风口的连接，隔热软管出厂为标准长度，其他视实际需要长度量取, 用刀片割断。</w:t>
      </w:r>
    </w:p>
    <w:p w14:paraId="6236E60B">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九、遥控接收探头的固定</w:t>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4686300</wp:posOffset>
                </wp:positionH>
                <wp:positionV relativeFrom="paragraph">
                  <wp:posOffset>370840</wp:posOffset>
                </wp:positionV>
                <wp:extent cx="342900" cy="0"/>
                <wp:effectExtent l="9525" t="8890" r="9525" b="10160"/>
                <wp:wrapNone/>
                <wp:docPr id="97" name="直接连接符 97"/>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FFFFFF"/>
                          </a:solidFill>
                          <a:round/>
                        </a:ln>
                        <a:effectLst/>
                      </wps:spPr>
                      <wps:bodyPr/>
                    </wps:wsp>
                  </a:graphicData>
                </a:graphic>
              </wp:anchor>
            </w:drawing>
          </mc:Choice>
          <mc:Fallback>
            <w:pict>
              <v:line id="_x0000_s1026" o:spid="_x0000_s1026" o:spt="20" style="position:absolute;left:0pt;margin-left:369pt;margin-top:29.2pt;height:0pt;width:27pt;z-index:251661312;mso-width-relative:page;mso-height-relative:page;" filled="f" stroked="t" coordsize="21600,21600" o:gfxdata="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jZ/&#10;BdcAAAAJAQAADwAAAAAAAAABACAAAAAiAAAAZHJzL2Rvd25yZXYueG1sUEsBAhQAFAAAAAgAh07i&#10;QB0abffqAQAAuQMAAA4AAAAAAAAAAQAgAAAAJgEAAGRycy9lMm9Eb2MueG1sUEsFBgAAAAAGAAYA&#10;WQEAAIIFAAAAAA==&#10;">
                <v:fill on="f" focussize="0,0"/>
                <v:stroke color="#FFFFFF" joinstyle="round"/>
                <v:imagedata o:title=""/>
                <o:lock v:ext="edit" aspectratio="f"/>
              </v:line>
            </w:pict>
          </mc:Fallback>
        </mc:AlternateContent>
      </w:r>
    </w:p>
    <w:p w14:paraId="6A5ECC5D">
      <w:pPr>
        <w:pageBreakBefore w:val="0"/>
        <w:widowControl w:val="0"/>
        <w:kinsoku/>
        <w:wordWrap/>
        <w:overflowPunct/>
        <w:topLinePunct w:val="0"/>
        <w:autoSpaceDE/>
        <w:autoSpaceDN/>
        <w:bidi w:val="0"/>
        <w:adjustRightInd/>
        <w:snapToGrid/>
        <w:spacing w:before="0" w:after="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遥控信号接收探头、温度探头和全自动运行指示灯的引出线，必须一起引入电梯轿厢内，使温度探头能够检测电梯轿厢内的实际温度，并使红外线接收探头的接收面朝向遥控器方向以利于接收信号。应注意温度探头不可直接被冷风吹到。</w:t>
      </w:r>
    </w:p>
    <w:p w14:paraId="78F65A36">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十、电源线的连接</w:t>
      </w:r>
    </w:p>
    <w:p w14:paraId="66DA561B">
      <w:pPr>
        <w:pageBreakBefore w:val="0"/>
        <w:widowControl w:val="0"/>
        <w:kinsoku/>
        <w:wordWrap/>
        <w:overflowPunct/>
        <w:topLinePunct w:val="0"/>
        <w:autoSpaceDE/>
        <w:autoSpaceDN/>
        <w:bidi w:val="0"/>
        <w:adjustRightInd/>
        <w:snapToGrid/>
        <w:spacing w:before="0" w:after="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空调器所配电缆必须为三芯电梯专用随行电缆，二股电源线，一股为接地线。</w:t>
      </w:r>
    </w:p>
    <w:p w14:paraId="07BE88B3">
      <w:pPr>
        <w:pageBreakBefore w:val="0"/>
        <w:widowControl w:val="0"/>
        <w:kinsoku/>
        <w:wordWrap/>
        <w:overflowPunct/>
        <w:topLinePunct w:val="0"/>
        <w:autoSpaceDE/>
        <w:autoSpaceDN/>
        <w:bidi w:val="0"/>
        <w:adjustRightInd/>
        <w:snapToGrid/>
        <w:spacing w:before="0" w:after="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电缆从井道上面放到底坑后，为消除扭曲，应在井道中自由状态悬挂一段时间，电缆悬挂部分不能有接头。</w:t>
      </w:r>
    </w:p>
    <w:p w14:paraId="125E0F89">
      <w:pPr>
        <w:pageBreakBefore w:val="0"/>
        <w:widowControl w:val="0"/>
        <w:kinsoku/>
        <w:wordWrap/>
        <w:overflowPunct/>
        <w:topLinePunct w:val="0"/>
        <w:autoSpaceDE/>
        <w:autoSpaceDN/>
        <w:bidi w:val="0"/>
        <w:adjustRightInd/>
        <w:snapToGrid/>
        <w:spacing w:before="0" w:after="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为防止随行电缆在电梯运行时发飘,电缆悬挂部分每间隔1米左右与原随行电缆用线扎扎紧,注意新旧电缆运行半径须一致。</w:t>
      </w:r>
    </w:p>
    <w:p w14:paraId="170D5789">
      <w:pPr>
        <w:pageBreakBefore w:val="0"/>
        <w:widowControl w:val="0"/>
        <w:kinsoku/>
        <w:wordWrap/>
        <w:overflowPunct/>
        <w:topLinePunct w:val="0"/>
        <w:autoSpaceDE/>
        <w:autoSpaceDN/>
        <w:bidi w:val="0"/>
        <w:adjustRightInd/>
        <w:snapToGrid/>
        <w:spacing w:before="0" w:after="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配套的插座为16A的三孔插座，电缆中的红线接L，蓝线接N，黄绿线接地。</w:t>
      </w:r>
    </w:p>
    <w:p w14:paraId="05E7B6E1">
      <w:pPr>
        <w:pageBreakBefore w:val="0"/>
        <w:widowControl w:val="0"/>
        <w:kinsoku/>
        <w:wordWrap/>
        <w:overflowPunct/>
        <w:topLinePunct w:val="0"/>
        <w:autoSpaceDE/>
        <w:autoSpaceDN/>
        <w:bidi w:val="0"/>
        <w:adjustRightInd/>
        <w:snapToGrid/>
        <w:spacing w:before="0" w:after="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所配空气开关规格为16A，空开必须控制相线，并与插座上的L端相联接。</w:t>
      </w:r>
    </w:p>
    <w:p w14:paraId="1ADBDE1C">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十一、验收</w:t>
      </w:r>
    </w:p>
    <w:p w14:paraId="494CC872">
      <w:pPr>
        <w:pageBreakBefore w:val="0"/>
        <w:widowControl w:val="0"/>
        <w:kinsoku/>
        <w:wordWrap/>
        <w:overflowPunct/>
        <w:topLinePunct w:val="0"/>
        <w:autoSpaceDE/>
        <w:autoSpaceDN/>
        <w:bidi w:val="0"/>
        <w:adjustRightInd/>
        <w:snapToGrid/>
        <w:spacing w:before="0" w:after="0" w:line="560" w:lineRule="exact"/>
        <w:ind w:firstLine="536"/>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空调安装完后，将插头插入插座内，通电后全自动运行指示灯闪烁。</w:t>
      </w:r>
    </w:p>
    <w:p w14:paraId="28019173">
      <w:pPr>
        <w:pageBreakBefore w:val="0"/>
        <w:widowControl w:val="0"/>
        <w:kinsoku/>
        <w:wordWrap/>
        <w:overflowPunct/>
        <w:topLinePunct w:val="0"/>
        <w:autoSpaceDE/>
        <w:autoSpaceDN/>
        <w:bidi w:val="0"/>
        <w:adjustRightInd/>
        <w:snapToGrid/>
        <w:spacing w:before="0" w:after="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检查定时器时钟准确。</w:t>
      </w:r>
    </w:p>
    <w:p w14:paraId="7613BEB3">
      <w:pPr>
        <w:pageBreakBefore w:val="0"/>
        <w:widowControl w:val="0"/>
        <w:kinsoku/>
        <w:wordWrap/>
        <w:overflowPunct/>
        <w:topLinePunct w:val="0"/>
        <w:autoSpaceDE/>
        <w:autoSpaceDN/>
        <w:bidi w:val="0"/>
        <w:adjustRightInd/>
        <w:snapToGrid/>
        <w:spacing w:before="0" w:after="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检查定时开关机时段，根据委托方所需时间段来设置开关机时间。</w:t>
      </w:r>
    </w:p>
    <w:p w14:paraId="6EBC1918">
      <w:pPr>
        <w:pageBreakBefore w:val="0"/>
        <w:widowControl w:val="0"/>
        <w:kinsoku/>
        <w:wordWrap/>
        <w:overflowPunct/>
        <w:topLinePunct w:val="0"/>
        <w:autoSpaceDE/>
        <w:autoSpaceDN/>
        <w:bidi w:val="0"/>
        <w:adjustRightInd/>
        <w:snapToGrid/>
        <w:spacing w:before="0" w:after="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检查风量正常，进风与出风畅通。</w:t>
      </w:r>
    </w:p>
    <w:p w14:paraId="67701CC3">
      <w:pPr>
        <w:pageBreakBefore w:val="0"/>
        <w:widowControl w:val="0"/>
        <w:kinsoku/>
        <w:wordWrap/>
        <w:overflowPunct/>
        <w:topLinePunct w:val="0"/>
        <w:autoSpaceDE/>
        <w:autoSpaceDN/>
        <w:bidi w:val="0"/>
        <w:adjustRightInd/>
        <w:snapToGrid/>
        <w:spacing w:before="0" w:after="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进入轿厢用遥控器检查遥控信号接收正常。</w:t>
      </w:r>
    </w:p>
    <w:p w14:paraId="292708FD">
      <w:pPr>
        <w:pageBreakBefore w:val="0"/>
        <w:widowControl w:val="0"/>
        <w:kinsoku/>
        <w:wordWrap/>
        <w:overflowPunct/>
        <w:topLinePunct w:val="0"/>
        <w:autoSpaceDE/>
        <w:autoSpaceDN/>
        <w:bidi w:val="0"/>
        <w:adjustRightInd/>
        <w:snapToGrid/>
        <w:spacing w:before="0" w:after="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用遥控器设定所需的运行模式及温度值，轿厢内的全自动运行指示灯亮，空调器进入全自动程控运行状态，30秒内达到设定温度。</w:t>
      </w:r>
    </w:p>
    <w:p w14:paraId="696A398F">
      <w:pPr>
        <w:pStyle w:val="4"/>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十二、测试平衡系数</w:t>
      </w:r>
    </w:p>
    <w:p w14:paraId="3EC43385">
      <w:pPr>
        <w:pageBreakBefore w:val="0"/>
        <w:widowControl w:val="0"/>
        <w:kinsoku/>
        <w:wordWrap/>
        <w:overflowPunct/>
        <w:topLinePunct w:val="0"/>
        <w:autoSpaceDE/>
        <w:autoSpaceDN/>
        <w:bidi w:val="0"/>
        <w:adjustRightInd/>
        <w:snapToGrid/>
        <w:spacing w:before="0" w:after="0" w:line="560" w:lineRule="exact"/>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-1936115</wp:posOffset>
                </wp:positionH>
                <wp:positionV relativeFrom="paragraph">
                  <wp:posOffset>134620</wp:posOffset>
                </wp:positionV>
                <wp:extent cx="458470" cy="1242060"/>
                <wp:effectExtent l="9525" t="42545" r="65405" b="10795"/>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flipV="1">
                          <a:off x="0" y="0"/>
                          <a:ext cx="458470" cy="1242060"/>
                        </a:xfrm>
                        <a:prstGeom prst="line">
                          <a:avLst/>
                        </a:prstGeom>
                        <a:noFill/>
                        <a:ln w="19050" cmpd="sng">
                          <a:solidFill>
                            <a:srgbClr val="000000"/>
                          </a:solidFill>
                          <a:round/>
                          <a:tailEnd type="triangle" w="med" len="med"/>
                        </a:ln>
                        <a:effectLst/>
                      </wps:spPr>
                      <wps:bodyPr/>
                    </wps:wsp>
                  </a:graphicData>
                </a:graphic>
              </wp:anchor>
            </w:drawing>
          </mc:Choice>
          <mc:Fallback>
            <w:pict>
              <v:line id="_x0000_s1026" o:spid="_x0000_s1026" o:spt="20" style="position:absolute;left:0pt;flip:y;margin-left:-152.45pt;margin-top:10.6pt;height:97.8pt;width:36.1pt;z-index:251659264;mso-width-relative:page;mso-height-relative:page;" filled="f" stroked="t" coordsize="21600,21600" o:gfxdata="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U/uY52QAAAAwBAAAP&#10;AAAAAAAAAAEAIAAAACIAAABkcnMvZG93bnJldi54bWxQSwECFAAUAAAACACHTuJAQT0aDxcCAAAD&#10;BAAADgAAAAAAAAABACAAAAAoAQAAZHJzL2Uyb0RvYy54bWxQSwUGAAAAAAYABgBZAQAAsQUAAAAA&#10;">
                <v:fill on="f" focussize="0,0"/>
                <v:stroke weight="1.5pt" color="#000000" joinstyle="round" endarrow="block"/>
                <v:imagedata o:title=""/>
                <o:lock v:ext="edit" aspectratio="f"/>
              </v:line>
            </w:pict>
          </mc:Fallback>
        </mc:AlternateContent>
      </w:r>
      <w:r>
        <w:rPr>
          <w:rFonts w:hint="eastAsia" w:ascii="仿宋_GB2312" w:hAnsi="仿宋_GB2312" w:eastAsia="仿宋_GB2312" w:cs="仿宋_GB2312"/>
          <w:sz w:val="32"/>
          <w:szCs w:val="32"/>
        </w:rPr>
        <w:t>由于加装空调及电缆，相当于增加了轿厢的重量，实际造成电梯平衡系数改变，因此需增加与空调重量接近的对重铁，然后重新学习载重系数，测量平衡系数，如果平衡系数低了，继续增加对重铁，否则相反操作，确保平衡系数基本不变，保证电梯的安全和舒适感，延长使用寿命。对电梯进行平衡系数测试调整，符合相关规范，满足使用要求。</w:t>
      </w:r>
    </w:p>
    <w:p w14:paraId="7BE2342D">
      <w:pPr>
        <w:pageBreakBefore w:val="0"/>
        <w:widowControl w:val="0"/>
        <w:numPr>
          <w:ilvl w:val="0"/>
          <w:numId w:val="4"/>
        </w:numPr>
        <w:kinsoku/>
        <w:wordWrap/>
        <w:overflowPunct/>
        <w:topLinePunct w:val="0"/>
        <w:autoSpaceDE/>
        <w:autoSpaceDN/>
        <w:bidi w:val="0"/>
        <w:adjustRightInd/>
        <w:snapToGrid/>
        <w:spacing w:before="0" w:after="0" w:line="560" w:lineRule="exact"/>
        <w:ind w:left="420" w:leftChars="0" w:firstLine="0" w:firstLineChars="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报价表</w:t>
      </w:r>
    </w:p>
    <w:tbl>
      <w:tblPr>
        <w:tblStyle w:val="14"/>
        <w:tblW w:w="53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033"/>
        <w:gridCol w:w="948"/>
        <w:gridCol w:w="600"/>
        <w:gridCol w:w="636"/>
        <w:gridCol w:w="1008"/>
        <w:gridCol w:w="1176"/>
        <w:gridCol w:w="888"/>
        <w:gridCol w:w="961"/>
      </w:tblGrid>
      <w:tr w14:paraId="0470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64" w:type="pct"/>
          </w:tcPr>
          <w:p w14:paraId="54FA4C1F">
            <w:pPr>
              <w:tabs>
                <w:tab w:val="left" w:pos="420"/>
              </w:tabs>
              <w:spacing w:line="240" w:lineRule="auto"/>
              <w:ind w:leftChars="-95" w:hanging="199" w:hangingChars="83"/>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序号</w:t>
            </w:r>
          </w:p>
        </w:tc>
        <w:tc>
          <w:tcPr>
            <w:tcW w:w="1117" w:type="pct"/>
          </w:tcPr>
          <w:p w14:paraId="3AB97441">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产品名称</w:t>
            </w:r>
          </w:p>
        </w:tc>
        <w:tc>
          <w:tcPr>
            <w:tcW w:w="521" w:type="pct"/>
          </w:tcPr>
          <w:p w14:paraId="392A972A">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规格型号</w:t>
            </w:r>
          </w:p>
        </w:tc>
        <w:tc>
          <w:tcPr>
            <w:tcW w:w="329" w:type="pct"/>
          </w:tcPr>
          <w:p w14:paraId="7DB825B1">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数量</w:t>
            </w:r>
          </w:p>
        </w:tc>
        <w:tc>
          <w:tcPr>
            <w:tcW w:w="349" w:type="pct"/>
          </w:tcPr>
          <w:p w14:paraId="73DEADD5">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单位</w:t>
            </w:r>
          </w:p>
        </w:tc>
        <w:tc>
          <w:tcPr>
            <w:tcW w:w="554" w:type="pct"/>
          </w:tcPr>
          <w:p w14:paraId="55C629D5">
            <w:pPr>
              <w:spacing w:line="240" w:lineRule="auto"/>
              <w:ind w:firstLine="0" w:firstLineChars="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上控</w:t>
            </w:r>
            <w:r>
              <w:rPr>
                <w:rFonts w:hint="eastAsia" w:ascii="仿宋_GB2312" w:hAnsi="仿宋_GB2312" w:eastAsia="仿宋_GB2312" w:cs="仿宋_GB2312"/>
                <w:color w:val="auto"/>
                <w:sz w:val="24"/>
                <w:szCs w:val="24"/>
                <w:highlight w:val="none"/>
              </w:rPr>
              <w:t>单价</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元</w:t>
            </w:r>
            <w:r>
              <w:rPr>
                <w:rFonts w:hint="eastAsia" w:ascii="仿宋_GB2312" w:hAnsi="仿宋_GB2312" w:eastAsia="仿宋_GB2312" w:cs="仿宋_GB2312"/>
                <w:color w:val="auto"/>
                <w:sz w:val="24"/>
                <w:szCs w:val="24"/>
                <w:highlight w:val="none"/>
                <w:lang w:eastAsia="zh-CN"/>
              </w:rPr>
              <w:t>）</w:t>
            </w:r>
          </w:p>
        </w:tc>
        <w:tc>
          <w:tcPr>
            <w:tcW w:w="646" w:type="pct"/>
          </w:tcPr>
          <w:p w14:paraId="6A59DB09">
            <w:pPr>
              <w:spacing w:line="240" w:lineRule="auto"/>
              <w:ind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上控合价</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元</w:t>
            </w:r>
            <w:r>
              <w:rPr>
                <w:rFonts w:hint="eastAsia" w:ascii="仿宋_GB2312" w:hAnsi="仿宋_GB2312" w:eastAsia="仿宋_GB2312" w:cs="仿宋_GB2312"/>
                <w:color w:val="auto"/>
                <w:sz w:val="24"/>
                <w:szCs w:val="24"/>
                <w:highlight w:val="none"/>
                <w:lang w:eastAsia="zh-CN"/>
              </w:rPr>
              <w:t>）</w:t>
            </w:r>
          </w:p>
        </w:tc>
        <w:tc>
          <w:tcPr>
            <w:tcW w:w="488" w:type="pct"/>
          </w:tcPr>
          <w:p w14:paraId="4FAA90E9">
            <w:pPr>
              <w:spacing w:line="240" w:lineRule="auto"/>
              <w:ind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单价</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元</w:t>
            </w:r>
            <w:r>
              <w:rPr>
                <w:rFonts w:hint="eastAsia" w:ascii="仿宋_GB2312" w:hAnsi="仿宋_GB2312" w:eastAsia="仿宋_GB2312" w:cs="仿宋_GB2312"/>
                <w:color w:val="auto"/>
                <w:sz w:val="24"/>
                <w:szCs w:val="24"/>
                <w:highlight w:val="none"/>
                <w:lang w:eastAsia="zh-CN"/>
              </w:rPr>
              <w:t>）</w:t>
            </w:r>
          </w:p>
        </w:tc>
        <w:tc>
          <w:tcPr>
            <w:tcW w:w="528" w:type="pct"/>
          </w:tcPr>
          <w:p w14:paraId="6EE17B23">
            <w:pPr>
              <w:spacing w:line="240" w:lineRule="auto"/>
              <w:ind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合价</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元</w:t>
            </w:r>
            <w:r>
              <w:rPr>
                <w:rFonts w:hint="eastAsia" w:ascii="仿宋_GB2312" w:hAnsi="仿宋_GB2312" w:eastAsia="仿宋_GB2312" w:cs="仿宋_GB2312"/>
                <w:color w:val="auto"/>
                <w:sz w:val="24"/>
                <w:szCs w:val="24"/>
                <w:highlight w:val="none"/>
                <w:lang w:eastAsia="zh-CN"/>
              </w:rPr>
              <w:t>）</w:t>
            </w:r>
          </w:p>
        </w:tc>
      </w:tr>
      <w:tr w14:paraId="4E10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464" w:type="pct"/>
            <w:vMerge w:val="restart"/>
            <w:vAlign w:val="center"/>
          </w:tcPr>
          <w:p w14:paraId="0B0513D7">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1117" w:type="pct"/>
            <w:vAlign w:val="center"/>
          </w:tcPr>
          <w:p w14:paraId="780A5F42">
            <w:pPr>
              <w:spacing w:line="24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电梯专用空调含安装</w:t>
            </w:r>
          </w:p>
        </w:tc>
        <w:tc>
          <w:tcPr>
            <w:tcW w:w="521" w:type="pct"/>
            <w:vAlign w:val="center"/>
          </w:tcPr>
          <w:p w14:paraId="75AE20CA">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1.5P单冷</w:t>
            </w:r>
          </w:p>
        </w:tc>
        <w:tc>
          <w:tcPr>
            <w:tcW w:w="329" w:type="pct"/>
            <w:vAlign w:val="center"/>
          </w:tcPr>
          <w:p w14:paraId="4695D14F">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w:t>
            </w:r>
          </w:p>
        </w:tc>
        <w:tc>
          <w:tcPr>
            <w:tcW w:w="349" w:type="pct"/>
            <w:vAlign w:val="center"/>
          </w:tcPr>
          <w:p w14:paraId="7A4DCCAC">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台</w:t>
            </w:r>
          </w:p>
        </w:tc>
        <w:tc>
          <w:tcPr>
            <w:tcW w:w="554" w:type="pct"/>
            <w:vAlign w:val="center"/>
          </w:tcPr>
          <w:p w14:paraId="56A66D23">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3100</w:t>
            </w:r>
          </w:p>
        </w:tc>
        <w:tc>
          <w:tcPr>
            <w:tcW w:w="646" w:type="pct"/>
            <w:vAlign w:val="center"/>
          </w:tcPr>
          <w:p w14:paraId="17BC4BAE">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37200</w:t>
            </w:r>
          </w:p>
        </w:tc>
        <w:tc>
          <w:tcPr>
            <w:tcW w:w="488" w:type="pct"/>
            <w:vAlign w:val="center"/>
          </w:tcPr>
          <w:p w14:paraId="694D6B9E">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p>
        </w:tc>
        <w:tc>
          <w:tcPr>
            <w:tcW w:w="528" w:type="pct"/>
            <w:vAlign w:val="center"/>
          </w:tcPr>
          <w:p w14:paraId="2CFCD94B">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p>
        </w:tc>
      </w:tr>
      <w:tr w14:paraId="03C1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464" w:type="pct"/>
            <w:vMerge w:val="continue"/>
            <w:vAlign w:val="center"/>
          </w:tcPr>
          <w:p w14:paraId="0562C03C">
            <w:pPr>
              <w:spacing w:line="240" w:lineRule="auto"/>
              <w:ind w:firstLine="0" w:firstLineChars="0"/>
              <w:jc w:val="center"/>
              <w:rPr>
                <w:rFonts w:hint="eastAsia" w:ascii="仿宋_GB2312" w:hAnsi="仿宋_GB2312" w:eastAsia="仿宋_GB2312" w:cs="仿宋_GB2312"/>
                <w:color w:val="auto"/>
                <w:sz w:val="24"/>
                <w:szCs w:val="24"/>
                <w:highlight w:val="none"/>
              </w:rPr>
            </w:pPr>
          </w:p>
        </w:tc>
        <w:tc>
          <w:tcPr>
            <w:tcW w:w="1117" w:type="pct"/>
            <w:vAlign w:val="center"/>
          </w:tcPr>
          <w:p w14:paraId="0B13AA5C">
            <w:pPr>
              <w:spacing w:line="24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电梯专用空调含安装</w:t>
            </w:r>
          </w:p>
        </w:tc>
        <w:tc>
          <w:tcPr>
            <w:tcW w:w="521" w:type="pct"/>
            <w:vAlign w:val="center"/>
          </w:tcPr>
          <w:p w14:paraId="6075CB02">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1.0P单冷</w:t>
            </w:r>
          </w:p>
        </w:tc>
        <w:tc>
          <w:tcPr>
            <w:tcW w:w="329" w:type="pct"/>
            <w:vAlign w:val="center"/>
          </w:tcPr>
          <w:p w14:paraId="7B654CFF">
            <w:pPr>
              <w:spacing w:line="240" w:lineRule="auto"/>
              <w:ind w:firstLine="0" w:firstLineChars="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3</w:t>
            </w:r>
          </w:p>
        </w:tc>
        <w:tc>
          <w:tcPr>
            <w:tcW w:w="349" w:type="pct"/>
            <w:vAlign w:val="center"/>
          </w:tcPr>
          <w:p w14:paraId="03678686">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台</w:t>
            </w:r>
          </w:p>
        </w:tc>
        <w:tc>
          <w:tcPr>
            <w:tcW w:w="554" w:type="pct"/>
            <w:vAlign w:val="center"/>
          </w:tcPr>
          <w:p w14:paraId="4E9C4473">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2800</w:t>
            </w:r>
          </w:p>
        </w:tc>
        <w:tc>
          <w:tcPr>
            <w:tcW w:w="646" w:type="pct"/>
            <w:vAlign w:val="center"/>
          </w:tcPr>
          <w:p w14:paraId="29CAC733">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8400</w:t>
            </w:r>
          </w:p>
        </w:tc>
        <w:tc>
          <w:tcPr>
            <w:tcW w:w="488" w:type="pct"/>
            <w:vAlign w:val="center"/>
          </w:tcPr>
          <w:p w14:paraId="4DB160BA">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p>
        </w:tc>
        <w:tc>
          <w:tcPr>
            <w:tcW w:w="528" w:type="pct"/>
            <w:vAlign w:val="center"/>
          </w:tcPr>
          <w:p w14:paraId="115986EB">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p>
        </w:tc>
      </w:tr>
      <w:tr w14:paraId="18E10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64" w:type="pct"/>
            <w:vAlign w:val="center"/>
          </w:tcPr>
          <w:p w14:paraId="66D81B77">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1117" w:type="pct"/>
            <w:vAlign w:val="center"/>
          </w:tcPr>
          <w:p w14:paraId="5FE121A0">
            <w:pPr>
              <w:spacing w:line="24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开送风孔及回风孔</w:t>
            </w:r>
          </w:p>
        </w:tc>
        <w:tc>
          <w:tcPr>
            <w:tcW w:w="521" w:type="pct"/>
            <w:vAlign w:val="center"/>
          </w:tcPr>
          <w:p w14:paraId="5554ACAC">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329" w:type="pct"/>
            <w:vAlign w:val="center"/>
          </w:tcPr>
          <w:p w14:paraId="4940F5AD">
            <w:pPr>
              <w:spacing w:line="240" w:lineRule="auto"/>
              <w:ind w:firstLine="0" w:firstLineChars="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lang w:val="en-US" w:eastAsia="zh-CN"/>
              </w:rPr>
              <w:t>5</w:t>
            </w:r>
          </w:p>
        </w:tc>
        <w:tc>
          <w:tcPr>
            <w:tcW w:w="349" w:type="pct"/>
            <w:vAlign w:val="center"/>
          </w:tcPr>
          <w:p w14:paraId="61F362B8">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台</w:t>
            </w:r>
          </w:p>
        </w:tc>
        <w:tc>
          <w:tcPr>
            <w:tcW w:w="554" w:type="pct"/>
            <w:vAlign w:val="center"/>
          </w:tcPr>
          <w:p w14:paraId="1967C6B6">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120</w:t>
            </w:r>
          </w:p>
        </w:tc>
        <w:tc>
          <w:tcPr>
            <w:tcW w:w="646" w:type="pct"/>
            <w:vAlign w:val="center"/>
          </w:tcPr>
          <w:p w14:paraId="13DF53A5">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1800</w:t>
            </w:r>
          </w:p>
        </w:tc>
        <w:tc>
          <w:tcPr>
            <w:tcW w:w="488" w:type="pct"/>
            <w:vAlign w:val="center"/>
          </w:tcPr>
          <w:p w14:paraId="3F34EBF5">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p>
        </w:tc>
        <w:tc>
          <w:tcPr>
            <w:tcW w:w="528" w:type="pct"/>
            <w:vAlign w:val="center"/>
          </w:tcPr>
          <w:p w14:paraId="6B68DCAD">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p>
        </w:tc>
      </w:tr>
      <w:tr w14:paraId="4FB3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64" w:type="pct"/>
            <w:vAlign w:val="center"/>
          </w:tcPr>
          <w:p w14:paraId="229E24A9">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1117" w:type="pct"/>
            <w:vAlign w:val="center"/>
          </w:tcPr>
          <w:p w14:paraId="7878DBF0">
            <w:pPr>
              <w:spacing w:line="24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YT1、YT2、YT3、YT4、YT5、YT6住院楼电梯空调专用随行电缆（109.5米/台）</w:t>
            </w:r>
          </w:p>
        </w:tc>
        <w:tc>
          <w:tcPr>
            <w:tcW w:w="521" w:type="pct"/>
            <w:vAlign w:val="center"/>
          </w:tcPr>
          <w:p w14:paraId="4D6FE1B3">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TVVBG3*2.5</w:t>
            </w:r>
          </w:p>
        </w:tc>
        <w:tc>
          <w:tcPr>
            <w:tcW w:w="329" w:type="pct"/>
            <w:vAlign w:val="center"/>
          </w:tcPr>
          <w:p w14:paraId="44596148">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w:t>
            </w:r>
          </w:p>
        </w:tc>
        <w:tc>
          <w:tcPr>
            <w:tcW w:w="349" w:type="pct"/>
            <w:vAlign w:val="center"/>
          </w:tcPr>
          <w:p w14:paraId="1E130617">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台</w:t>
            </w:r>
          </w:p>
        </w:tc>
        <w:tc>
          <w:tcPr>
            <w:tcW w:w="554" w:type="pct"/>
            <w:vAlign w:val="center"/>
          </w:tcPr>
          <w:p w14:paraId="120372D9">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rPr>
              <w:t>109.5</w:t>
            </w:r>
            <w:r>
              <w:rPr>
                <w:rFonts w:hint="eastAsia" w:ascii="仿宋_GB2312" w:hAnsi="仿宋_GB2312" w:eastAsia="仿宋_GB2312" w:cs="仿宋_GB2312"/>
                <w:color w:val="auto"/>
                <w:sz w:val="24"/>
                <w:szCs w:val="24"/>
                <w:lang w:val="en-US" w:eastAsia="zh-CN"/>
              </w:rPr>
              <w:t>米/台</w:t>
            </w:r>
            <w:r>
              <w:rPr>
                <w:rFonts w:hint="eastAsia" w:ascii="仿宋_GB2312" w:hAnsi="仿宋_GB2312" w:eastAsia="仿宋_GB2312" w:cs="仿宋_GB2312"/>
                <w:color w:val="auto"/>
                <w:sz w:val="24"/>
                <w:szCs w:val="24"/>
              </w:rPr>
              <w:t>×12.2</w:t>
            </w:r>
            <w:r>
              <w:rPr>
                <w:rFonts w:hint="eastAsia" w:ascii="仿宋_GB2312" w:hAnsi="仿宋_GB2312" w:eastAsia="仿宋_GB2312" w:cs="仿宋_GB2312"/>
                <w:color w:val="auto"/>
                <w:sz w:val="24"/>
                <w:szCs w:val="24"/>
                <w:lang w:val="en-US" w:eastAsia="zh-CN"/>
              </w:rPr>
              <w:t>0元/米</w:t>
            </w:r>
            <w:r>
              <w:rPr>
                <w:rFonts w:hint="eastAsia" w:ascii="仿宋_GB2312" w:hAnsi="仿宋_GB2312" w:eastAsia="仿宋_GB2312" w:cs="仿宋_GB2312"/>
                <w:color w:val="auto"/>
                <w:sz w:val="24"/>
                <w:szCs w:val="24"/>
              </w:rPr>
              <w:t>=1335.9</w:t>
            </w:r>
            <w:r>
              <w:rPr>
                <w:rFonts w:hint="eastAsia" w:ascii="仿宋_GB2312" w:hAnsi="仿宋_GB2312" w:eastAsia="仿宋_GB2312" w:cs="仿宋_GB2312"/>
                <w:color w:val="auto"/>
                <w:sz w:val="24"/>
                <w:szCs w:val="24"/>
                <w:lang w:val="en-US" w:eastAsia="zh-CN"/>
              </w:rPr>
              <w:t>元/台</w:t>
            </w:r>
          </w:p>
        </w:tc>
        <w:tc>
          <w:tcPr>
            <w:tcW w:w="646" w:type="pct"/>
            <w:vAlign w:val="center"/>
          </w:tcPr>
          <w:p w14:paraId="4F3F0F31">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8015.4</w:t>
            </w:r>
          </w:p>
        </w:tc>
        <w:tc>
          <w:tcPr>
            <w:tcW w:w="488" w:type="pct"/>
            <w:vAlign w:val="center"/>
          </w:tcPr>
          <w:p w14:paraId="7DB6A960">
            <w:pPr>
              <w:spacing w:line="240" w:lineRule="auto"/>
              <w:ind w:firstLine="0" w:firstLineChars="0"/>
              <w:jc w:val="center"/>
              <w:rPr>
                <w:rFonts w:hint="eastAsia" w:ascii="仿宋_GB2312" w:hAnsi="仿宋_GB2312" w:eastAsia="仿宋_GB2312" w:cs="仿宋_GB2312"/>
                <w:color w:val="auto"/>
                <w:sz w:val="24"/>
                <w:szCs w:val="24"/>
                <w:highlight w:val="none"/>
              </w:rPr>
            </w:pPr>
          </w:p>
        </w:tc>
        <w:tc>
          <w:tcPr>
            <w:tcW w:w="528" w:type="pct"/>
            <w:vAlign w:val="center"/>
          </w:tcPr>
          <w:p w14:paraId="52B79F30">
            <w:pPr>
              <w:spacing w:line="240" w:lineRule="auto"/>
              <w:ind w:firstLine="0" w:firstLineChars="0"/>
              <w:jc w:val="center"/>
              <w:rPr>
                <w:rFonts w:hint="eastAsia" w:ascii="仿宋_GB2312" w:hAnsi="仿宋_GB2312" w:eastAsia="仿宋_GB2312" w:cs="仿宋_GB2312"/>
                <w:color w:val="auto"/>
                <w:sz w:val="24"/>
                <w:szCs w:val="24"/>
                <w:highlight w:val="none"/>
              </w:rPr>
            </w:pPr>
          </w:p>
        </w:tc>
      </w:tr>
      <w:tr w14:paraId="0D9F9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jc w:val="center"/>
        </w:trPr>
        <w:tc>
          <w:tcPr>
            <w:tcW w:w="464" w:type="pct"/>
            <w:vAlign w:val="center"/>
          </w:tcPr>
          <w:p w14:paraId="1C09F846">
            <w:pPr>
              <w:spacing w:line="240" w:lineRule="auto"/>
              <w:ind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4</w:t>
            </w:r>
          </w:p>
        </w:tc>
        <w:tc>
          <w:tcPr>
            <w:tcW w:w="1117" w:type="pct"/>
            <w:vAlign w:val="center"/>
          </w:tcPr>
          <w:p w14:paraId="4947D4BE">
            <w:pPr>
              <w:spacing w:line="24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KT1、KT2、YT7、YT8职工梯空调专用随行电缆（109.5米/台）</w:t>
            </w:r>
          </w:p>
        </w:tc>
        <w:tc>
          <w:tcPr>
            <w:tcW w:w="521" w:type="pct"/>
            <w:vAlign w:val="center"/>
          </w:tcPr>
          <w:p w14:paraId="7E5E4182">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TVVBG3*2.5</w:t>
            </w:r>
          </w:p>
        </w:tc>
        <w:tc>
          <w:tcPr>
            <w:tcW w:w="329" w:type="pct"/>
            <w:vAlign w:val="center"/>
          </w:tcPr>
          <w:p w14:paraId="01716A03">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349" w:type="pct"/>
            <w:vAlign w:val="center"/>
          </w:tcPr>
          <w:p w14:paraId="6E951627">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台</w:t>
            </w:r>
          </w:p>
        </w:tc>
        <w:tc>
          <w:tcPr>
            <w:tcW w:w="554" w:type="pct"/>
            <w:vAlign w:val="center"/>
          </w:tcPr>
          <w:p w14:paraId="02C99754">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rPr>
              <w:t>109.5</w:t>
            </w:r>
            <w:r>
              <w:rPr>
                <w:rFonts w:hint="eastAsia" w:ascii="仿宋_GB2312" w:hAnsi="仿宋_GB2312" w:eastAsia="仿宋_GB2312" w:cs="仿宋_GB2312"/>
                <w:color w:val="auto"/>
                <w:sz w:val="24"/>
                <w:szCs w:val="24"/>
                <w:lang w:val="en-US" w:eastAsia="zh-CN"/>
              </w:rPr>
              <w:t>米/台</w:t>
            </w:r>
            <w:r>
              <w:rPr>
                <w:rFonts w:hint="eastAsia" w:ascii="仿宋_GB2312" w:hAnsi="仿宋_GB2312" w:eastAsia="仿宋_GB2312" w:cs="仿宋_GB2312"/>
                <w:color w:val="auto"/>
                <w:sz w:val="24"/>
                <w:szCs w:val="24"/>
              </w:rPr>
              <w:t>×12.2</w:t>
            </w:r>
            <w:r>
              <w:rPr>
                <w:rFonts w:hint="eastAsia" w:ascii="仿宋_GB2312" w:hAnsi="仿宋_GB2312" w:eastAsia="仿宋_GB2312" w:cs="仿宋_GB2312"/>
                <w:color w:val="auto"/>
                <w:sz w:val="24"/>
                <w:szCs w:val="24"/>
                <w:lang w:val="en-US" w:eastAsia="zh-CN"/>
              </w:rPr>
              <w:t>0元/米</w:t>
            </w:r>
            <w:r>
              <w:rPr>
                <w:rFonts w:hint="eastAsia" w:ascii="仿宋_GB2312" w:hAnsi="仿宋_GB2312" w:eastAsia="仿宋_GB2312" w:cs="仿宋_GB2312"/>
                <w:color w:val="auto"/>
                <w:sz w:val="24"/>
                <w:szCs w:val="24"/>
              </w:rPr>
              <w:t>=1335.9</w:t>
            </w:r>
            <w:r>
              <w:rPr>
                <w:rFonts w:hint="eastAsia" w:ascii="仿宋_GB2312" w:hAnsi="仿宋_GB2312" w:eastAsia="仿宋_GB2312" w:cs="仿宋_GB2312"/>
                <w:color w:val="auto"/>
                <w:sz w:val="24"/>
                <w:szCs w:val="24"/>
                <w:lang w:val="en-US" w:eastAsia="zh-CN"/>
              </w:rPr>
              <w:t>元/台</w:t>
            </w:r>
          </w:p>
        </w:tc>
        <w:tc>
          <w:tcPr>
            <w:tcW w:w="646" w:type="pct"/>
            <w:vAlign w:val="center"/>
          </w:tcPr>
          <w:p w14:paraId="2B5196A1">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5343.6</w:t>
            </w:r>
          </w:p>
        </w:tc>
        <w:tc>
          <w:tcPr>
            <w:tcW w:w="488" w:type="pct"/>
            <w:vAlign w:val="center"/>
          </w:tcPr>
          <w:p w14:paraId="54AE0087">
            <w:pPr>
              <w:spacing w:line="240" w:lineRule="auto"/>
              <w:ind w:firstLine="0" w:firstLineChars="0"/>
              <w:jc w:val="center"/>
              <w:rPr>
                <w:rFonts w:hint="eastAsia" w:ascii="仿宋_GB2312" w:hAnsi="仿宋_GB2312" w:eastAsia="仿宋_GB2312" w:cs="仿宋_GB2312"/>
                <w:color w:val="auto"/>
                <w:sz w:val="24"/>
                <w:szCs w:val="24"/>
                <w:highlight w:val="none"/>
              </w:rPr>
            </w:pPr>
          </w:p>
        </w:tc>
        <w:tc>
          <w:tcPr>
            <w:tcW w:w="528" w:type="pct"/>
            <w:vAlign w:val="center"/>
          </w:tcPr>
          <w:p w14:paraId="0D975107">
            <w:pPr>
              <w:spacing w:line="240" w:lineRule="auto"/>
              <w:ind w:firstLine="0" w:firstLineChars="0"/>
              <w:jc w:val="center"/>
              <w:rPr>
                <w:rFonts w:hint="eastAsia" w:ascii="仿宋_GB2312" w:hAnsi="仿宋_GB2312" w:eastAsia="仿宋_GB2312" w:cs="仿宋_GB2312"/>
                <w:color w:val="auto"/>
                <w:sz w:val="24"/>
                <w:szCs w:val="24"/>
                <w:highlight w:val="none"/>
              </w:rPr>
            </w:pPr>
          </w:p>
        </w:tc>
      </w:tr>
      <w:tr w14:paraId="534E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64" w:type="pct"/>
            <w:vAlign w:val="center"/>
          </w:tcPr>
          <w:p w14:paraId="5C0C8BDF">
            <w:pPr>
              <w:spacing w:line="240" w:lineRule="auto"/>
              <w:ind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5</w:t>
            </w:r>
          </w:p>
        </w:tc>
        <w:tc>
          <w:tcPr>
            <w:tcW w:w="1117" w:type="pct"/>
            <w:vAlign w:val="center"/>
          </w:tcPr>
          <w:p w14:paraId="43555200">
            <w:pPr>
              <w:spacing w:line="24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KT5、KT6、KT7、KT8</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KT11</w:t>
            </w:r>
            <w:r>
              <w:rPr>
                <w:rFonts w:hint="eastAsia" w:ascii="仿宋_GB2312" w:hAnsi="仿宋_GB2312" w:eastAsia="仿宋_GB2312" w:cs="仿宋_GB2312"/>
                <w:color w:val="auto"/>
                <w:sz w:val="24"/>
                <w:szCs w:val="24"/>
                <w:highlight w:val="none"/>
              </w:rPr>
              <w:t>门诊楼电梯空调专用随行电缆(71.5米/台)</w:t>
            </w:r>
          </w:p>
        </w:tc>
        <w:tc>
          <w:tcPr>
            <w:tcW w:w="521" w:type="pct"/>
            <w:vAlign w:val="center"/>
          </w:tcPr>
          <w:p w14:paraId="7F5FA826">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TVVBG3*2.5</w:t>
            </w:r>
          </w:p>
        </w:tc>
        <w:tc>
          <w:tcPr>
            <w:tcW w:w="329" w:type="pct"/>
            <w:vAlign w:val="center"/>
          </w:tcPr>
          <w:p w14:paraId="46CE9A89">
            <w:pPr>
              <w:spacing w:line="240" w:lineRule="auto"/>
              <w:ind w:firstLine="0" w:firstLineChars="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5</w:t>
            </w:r>
          </w:p>
        </w:tc>
        <w:tc>
          <w:tcPr>
            <w:tcW w:w="349" w:type="pct"/>
            <w:vAlign w:val="center"/>
          </w:tcPr>
          <w:p w14:paraId="2871FD64">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台</w:t>
            </w:r>
          </w:p>
        </w:tc>
        <w:tc>
          <w:tcPr>
            <w:tcW w:w="554" w:type="pct"/>
            <w:vAlign w:val="center"/>
          </w:tcPr>
          <w:p w14:paraId="66061471">
            <w:pPr>
              <w:spacing w:before="0" w:after="0" w:line="240" w:lineRule="auto"/>
              <w:ind w:firstLine="0" w:firstLineChars="0"/>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71.5</w:t>
            </w:r>
            <w:r>
              <w:rPr>
                <w:rFonts w:hint="eastAsia" w:ascii="仿宋_GB2312" w:hAnsi="仿宋_GB2312" w:eastAsia="仿宋_GB2312" w:cs="仿宋_GB2312"/>
                <w:color w:val="auto"/>
                <w:sz w:val="24"/>
                <w:szCs w:val="24"/>
                <w:lang w:val="en-US" w:eastAsia="zh-CN"/>
              </w:rPr>
              <w:t>米/台</w:t>
            </w:r>
            <w:r>
              <w:rPr>
                <w:rFonts w:hint="eastAsia" w:ascii="仿宋_GB2312" w:hAnsi="仿宋_GB2312" w:eastAsia="仿宋_GB2312" w:cs="仿宋_GB2312"/>
                <w:color w:val="auto"/>
                <w:sz w:val="24"/>
                <w:szCs w:val="24"/>
              </w:rPr>
              <w:t>×12.2</w:t>
            </w:r>
            <w:r>
              <w:rPr>
                <w:rFonts w:hint="eastAsia" w:ascii="仿宋_GB2312" w:hAnsi="仿宋_GB2312" w:eastAsia="仿宋_GB2312" w:cs="仿宋_GB2312"/>
                <w:color w:val="auto"/>
                <w:sz w:val="24"/>
                <w:szCs w:val="24"/>
                <w:lang w:val="en-US" w:eastAsia="zh-CN"/>
              </w:rPr>
              <w:t>0元/米</w:t>
            </w:r>
          </w:p>
          <w:p w14:paraId="64BAA847">
            <w:pPr>
              <w:spacing w:before="0" w:after="0"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rPr>
              <w:t>=872.3</w:t>
            </w:r>
            <w:r>
              <w:rPr>
                <w:rFonts w:hint="eastAsia" w:ascii="仿宋_GB2312" w:hAnsi="仿宋_GB2312" w:eastAsia="仿宋_GB2312" w:cs="仿宋_GB2312"/>
                <w:color w:val="auto"/>
                <w:sz w:val="24"/>
                <w:szCs w:val="24"/>
                <w:lang w:val="en-US" w:eastAsia="zh-CN"/>
              </w:rPr>
              <w:t>元/台</w:t>
            </w:r>
          </w:p>
        </w:tc>
        <w:tc>
          <w:tcPr>
            <w:tcW w:w="646" w:type="pct"/>
            <w:vAlign w:val="center"/>
          </w:tcPr>
          <w:p w14:paraId="190B1F38">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4361.5</w:t>
            </w:r>
          </w:p>
        </w:tc>
        <w:tc>
          <w:tcPr>
            <w:tcW w:w="488" w:type="pct"/>
            <w:vAlign w:val="center"/>
          </w:tcPr>
          <w:p w14:paraId="240EDB54">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p>
        </w:tc>
        <w:tc>
          <w:tcPr>
            <w:tcW w:w="528" w:type="pct"/>
            <w:vAlign w:val="center"/>
          </w:tcPr>
          <w:p w14:paraId="5568189B">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p>
        </w:tc>
      </w:tr>
      <w:tr w14:paraId="6D4A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64" w:type="pct"/>
            <w:vAlign w:val="center"/>
          </w:tcPr>
          <w:p w14:paraId="73886A09">
            <w:pPr>
              <w:spacing w:line="240" w:lineRule="auto"/>
              <w:ind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6</w:t>
            </w:r>
          </w:p>
        </w:tc>
        <w:tc>
          <w:tcPr>
            <w:tcW w:w="1117" w:type="pct"/>
            <w:vAlign w:val="center"/>
          </w:tcPr>
          <w:p w14:paraId="77BC620D">
            <w:pPr>
              <w:spacing w:line="24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漏电开关</w:t>
            </w:r>
          </w:p>
        </w:tc>
        <w:tc>
          <w:tcPr>
            <w:tcW w:w="521" w:type="pct"/>
          </w:tcPr>
          <w:p w14:paraId="0B6E576C">
            <w:pPr>
              <w:spacing w:before="0" w:after="0"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2P 16A</w:t>
            </w:r>
          </w:p>
        </w:tc>
        <w:tc>
          <w:tcPr>
            <w:tcW w:w="329" w:type="pct"/>
            <w:vAlign w:val="center"/>
          </w:tcPr>
          <w:p w14:paraId="64091FED">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w:t>
            </w:r>
          </w:p>
        </w:tc>
        <w:tc>
          <w:tcPr>
            <w:tcW w:w="349" w:type="pct"/>
            <w:vAlign w:val="center"/>
          </w:tcPr>
          <w:p w14:paraId="732D8CD2">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个</w:t>
            </w:r>
          </w:p>
        </w:tc>
        <w:tc>
          <w:tcPr>
            <w:tcW w:w="554" w:type="pct"/>
            <w:vAlign w:val="center"/>
          </w:tcPr>
          <w:p w14:paraId="06100C78">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30</w:t>
            </w:r>
          </w:p>
        </w:tc>
        <w:tc>
          <w:tcPr>
            <w:tcW w:w="646" w:type="pct"/>
            <w:vAlign w:val="center"/>
          </w:tcPr>
          <w:p w14:paraId="5A805483">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450</w:t>
            </w:r>
          </w:p>
        </w:tc>
        <w:tc>
          <w:tcPr>
            <w:tcW w:w="488" w:type="pct"/>
            <w:vAlign w:val="center"/>
          </w:tcPr>
          <w:p w14:paraId="174761B3">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p>
        </w:tc>
        <w:tc>
          <w:tcPr>
            <w:tcW w:w="528" w:type="pct"/>
            <w:vAlign w:val="center"/>
          </w:tcPr>
          <w:p w14:paraId="7D737CAD">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p>
        </w:tc>
      </w:tr>
      <w:tr w14:paraId="7821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64" w:type="pct"/>
            <w:vAlign w:val="center"/>
          </w:tcPr>
          <w:p w14:paraId="32D01E4F">
            <w:pPr>
              <w:spacing w:line="240" w:lineRule="auto"/>
              <w:ind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7</w:t>
            </w:r>
          </w:p>
        </w:tc>
        <w:tc>
          <w:tcPr>
            <w:tcW w:w="1117" w:type="pct"/>
            <w:vAlign w:val="center"/>
          </w:tcPr>
          <w:p w14:paraId="72DA3599">
            <w:pPr>
              <w:spacing w:line="24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空调专用插座</w:t>
            </w:r>
          </w:p>
        </w:tc>
        <w:tc>
          <w:tcPr>
            <w:tcW w:w="521" w:type="pct"/>
          </w:tcPr>
          <w:p w14:paraId="22C8B9CC">
            <w:pPr>
              <w:spacing w:before="0" w:after="0"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16A</w:t>
            </w:r>
          </w:p>
        </w:tc>
        <w:tc>
          <w:tcPr>
            <w:tcW w:w="329" w:type="pct"/>
            <w:vAlign w:val="center"/>
          </w:tcPr>
          <w:p w14:paraId="0AE2B97B">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w:t>
            </w:r>
          </w:p>
        </w:tc>
        <w:tc>
          <w:tcPr>
            <w:tcW w:w="349" w:type="pct"/>
            <w:vAlign w:val="center"/>
          </w:tcPr>
          <w:p w14:paraId="1C07E8E7">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个</w:t>
            </w:r>
          </w:p>
        </w:tc>
        <w:tc>
          <w:tcPr>
            <w:tcW w:w="554" w:type="pct"/>
            <w:vAlign w:val="center"/>
          </w:tcPr>
          <w:p w14:paraId="13B79AD1">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w:t>
            </w:r>
          </w:p>
        </w:tc>
        <w:tc>
          <w:tcPr>
            <w:tcW w:w="646" w:type="pct"/>
            <w:vAlign w:val="center"/>
          </w:tcPr>
          <w:p w14:paraId="21367852">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225</w:t>
            </w:r>
          </w:p>
        </w:tc>
        <w:tc>
          <w:tcPr>
            <w:tcW w:w="488" w:type="pct"/>
            <w:vAlign w:val="center"/>
          </w:tcPr>
          <w:p w14:paraId="7470BFEB">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p>
        </w:tc>
        <w:tc>
          <w:tcPr>
            <w:tcW w:w="528" w:type="pct"/>
            <w:vAlign w:val="center"/>
          </w:tcPr>
          <w:p w14:paraId="1DB1C707">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p>
        </w:tc>
      </w:tr>
      <w:tr w14:paraId="4FF5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64" w:type="pct"/>
            <w:vAlign w:val="center"/>
          </w:tcPr>
          <w:p w14:paraId="76BDF827">
            <w:pPr>
              <w:spacing w:line="240" w:lineRule="auto"/>
              <w:ind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8</w:t>
            </w:r>
          </w:p>
        </w:tc>
        <w:tc>
          <w:tcPr>
            <w:tcW w:w="1117" w:type="pct"/>
            <w:vAlign w:val="center"/>
          </w:tcPr>
          <w:p w14:paraId="60F9E1B3">
            <w:pPr>
              <w:spacing w:line="24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定时及温度自动控制盒</w:t>
            </w:r>
          </w:p>
        </w:tc>
        <w:tc>
          <w:tcPr>
            <w:tcW w:w="521" w:type="pct"/>
          </w:tcPr>
          <w:p w14:paraId="33F06405">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329" w:type="pct"/>
            <w:vAlign w:val="center"/>
          </w:tcPr>
          <w:p w14:paraId="3CF54E30">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w:t>
            </w:r>
          </w:p>
        </w:tc>
        <w:tc>
          <w:tcPr>
            <w:tcW w:w="349" w:type="pct"/>
            <w:vAlign w:val="center"/>
          </w:tcPr>
          <w:p w14:paraId="09C63DC1">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套</w:t>
            </w:r>
          </w:p>
        </w:tc>
        <w:tc>
          <w:tcPr>
            <w:tcW w:w="554" w:type="pct"/>
            <w:vAlign w:val="center"/>
          </w:tcPr>
          <w:p w14:paraId="722D3F06">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450</w:t>
            </w:r>
          </w:p>
        </w:tc>
        <w:tc>
          <w:tcPr>
            <w:tcW w:w="646" w:type="pct"/>
            <w:vAlign w:val="center"/>
          </w:tcPr>
          <w:p w14:paraId="08AFCCCE">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6750</w:t>
            </w:r>
          </w:p>
        </w:tc>
        <w:tc>
          <w:tcPr>
            <w:tcW w:w="488" w:type="pct"/>
            <w:vAlign w:val="center"/>
          </w:tcPr>
          <w:p w14:paraId="3FF0620D">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p>
        </w:tc>
        <w:tc>
          <w:tcPr>
            <w:tcW w:w="528" w:type="pct"/>
            <w:vAlign w:val="center"/>
          </w:tcPr>
          <w:p w14:paraId="19E7E7FC">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p>
        </w:tc>
      </w:tr>
      <w:tr w14:paraId="0B99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64" w:type="pct"/>
            <w:vAlign w:val="center"/>
          </w:tcPr>
          <w:p w14:paraId="79DA2925">
            <w:pPr>
              <w:spacing w:line="240" w:lineRule="auto"/>
              <w:ind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9</w:t>
            </w:r>
          </w:p>
        </w:tc>
        <w:tc>
          <w:tcPr>
            <w:tcW w:w="1117" w:type="pct"/>
            <w:vAlign w:val="center"/>
          </w:tcPr>
          <w:p w14:paraId="1F6F2F3F">
            <w:pPr>
              <w:spacing w:line="24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增加对重铁（含加工、安装)</w:t>
            </w:r>
          </w:p>
        </w:tc>
        <w:tc>
          <w:tcPr>
            <w:tcW w:w="521" w:type="pct"/>
            <w:vAlign w:val="center"/>
          </w:tcPr>
          <w:p w14:paraId="4EF9AB71">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60KG/台</w:t>
            </w:r>
          </w:p>
        </w:tc>
        <w:tc>
          <w:tcPr>
            <w:tcW w:w="329" w:type="pct"/>
            <w:vAlign w:val="center"/>
          </w:tcPr>
          <w:p w14:paraId="4FEB6F1B">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w:t>
            </w:r>
          </w:p>
        </w:tc>
        <w:tc>
          <w:tcPr>
            <w:tcW w:w="349" w:type="pct"/>
            <w:vAlign w:val="center"/>
          </w:tcPr>
          <w:p w14:paraId="0A18858B">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台</w:t>
            </w:r>
          </w:p>
        </w:tc>
        <w:tc>
          <w:tcPr>
            <w:tcW w:w="554" w:type="pct"/>
            <w:vAlign w:val="center"/>
          </w:tcPr>
          <w:p w14:paraId="0EAB1ABE">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rPr>
              <w:t>60KG/台×5.5</w:t>
            </w:r>
            <w:r>
              <w:rPr>
                <w:rFonts w:hint="eastAsia" w:ascii="仿宋_GB2312" w:hAnsi="仿宋_GB2312" w:eastAsia="仿宋_GB2312" w:cs="仿宋_GB2312"/>
                <w:color w:val="auto"/>
                <w:sz w:val="24"/>
                <w:szCs w:val="24"/>
                <w:lang w:val="en-US" w:eastAsia="zh-CN"/>
              </w:rPr>
              <w:t>0元</w:t>
            </w:r>
            <w:r>
              <w:rPr>
                <w:rFonts w:hint="eastAsia" w:ascii="仿宋_GB2312" w:hAnsi="仿宋_GB2312" w:eastAsia="仿宋_GB2312" w:cs="仿宋_GB2312"/>
                <w:color w:val="auto"/>
                <w:sz w:val="24"/>
                <w:szCs w:val="24"/>
              </w:rPr>
              <w:t>=330</w:t>
            </w:r>
            <w:r>
              <w:rPr>
                <w:rFonts w:hint="eastAsia" w:ascii="仿宋_GB2312" w:hAnsi="仿宋_GB2312" w:eastAsia="仿宋_GB2312" w:cs="仿宋_GB2312"/>
                <w:color w:val="auto"/>
                <w:sz w:val="24"/>
                <w:szCs w:val="24"/>
                <w:lang w:val="en-US" w:eastAsia="zh-CN"/>
              </w:rPr>
              <w:t>元/台</w:t>
            </w:r>
          </w:p>
        </w:tc>
        <w:tc>
          <w:tcPr>
            <w:tcW w:w="646" w:type="pct"/>
            <w:vAlign w:val="center"/>
          </w:tcPr>
          <w:p w14:paraId="6CCB4BDA">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4</w:t>
            </w:r>
            <w:r>
              <w:rPr>
                <w:rFonts w:hint="eastAsia" w:ascii="仿宋_GB2312" w:hAnsi="仿宋_GB2312" w:eastAsia="仿宋_GB2312" w:cs="仿宋_GB2312"/>
                <w:color w:val="auto"/>
                <w:sz w:val="24"/>
                <w:szCs w:val="24"/>
                <w:highlight w:val="none"/>
                <w:lang w:val="en-US" w:eastAsia="zh-CN"/>
              </w:rPr>
              <w:t>950</w:t>
            </w:r>
          </w:p>
        </w:tc>
        <w:tc>
          <w:tcPr>
            <w:tcW w:w="488" w:type="pct"/>
            <w:vAlign w:val="center"/>
          </w:tcPr>
          <w:p w14:paraId="0F1440F5">
            <w:pPr>
              <w:spacing w:line="240" w:lineRule="auto"/>
              <w:ind w:firstLine="0" w:firstLineChars="0"/>
              <w:jc w:val="center"/>
              <w:rPr>
                <w:rFonts w:hint="eastAsia" w:ascii="仿宋_GB2312" w:hAnsi="仿宋_GB2312" w:eastAsia="仿宋_GB2312" w:cs="仿宋_GB2312"/>
                <w:color w:val="auto"/>
                <w:sz w:val="24"/>
                <w:szCs w:val="24"/>
                <w:highlight w:val="none"/>
              </w:rPr>
            </w:pPr>
          </w:p>
        </w:tc>
        <w:tc>
          <w:tcPr>
            <w:tcW w:w="528" w:type="pct"/>
            <w:vAlign w:val="center"/>
          </w:tcPr>
          <w:p w14:paraId="35DA13AF">
            <w:pPr>
              <w:spacing w:line="240" w:lineRule="auto"/>
              <w:ind w:firstLine="0" w:firstLineChars="0"/>
              <w:jc w:val="center"/>
              <w:rPr>
                <w:rFonts w:hint="eastAsia" w:ascii="仿宋_GB2312" w:hAnsi="仿宋_GB2312" w:eastAsia="仿宋_GB2312" w:cs="仿宋_GB2312"/>
                <w:color w:val="auto"/>
                <w:sz w:val="24"/>
                <w:szCs w:val="24"/>
                <w:highlight w:val="none"/>
              </w:rPr>
            </w:pPr>
          </w:p>
        </w:tc>
      </w:tr>
      <w:tr w14:paraId="3F8E6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64" w:type="pct"/>
            <w:vAlign w:val="center"/>
          </w:tcPr>
          <w:p w14:paraId="03E7DEC4">
            <w:pPr>
              <w:spacing w:line="240" w:lineRule="auto"/>
              <w:ind w:firstLine="0" w:firstLineChars="0"/>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10</w:t>
            </w:r>
          </w:p>
        </w:tc>
        <w:tc>
          <w:tcPr>
            <w:tcW w:w="1117" w:type="pct"/>
            <w:vAlign w:val="center"/>
          </w:tcPr>
          <w:p w14:paraId="1962CCB7">
            <w:pPr>
              <w:spacing w:line="24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加装费含辅助材料</w:t>
            </w:r>
          </w:p>
        </w:tc>
        <w:tc>
          <w:tcPr>
            <w:tcW w:w="521" w:type="pct"/>
            <w:vAlign w:val="center"/>
          </w:tcPr>
          <w:p w14:paraId="5A7771B5">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329" w:type="pct"/>
            <w:vAlign w:val="center"/>
          </w:tcPr>
          <w:p w14:paraId="4F3F90D5">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w:t>
            </w:r>
          </w:p>
        </w:tc>
        <w:tc>
          <w:tcPr>
            <w:tcW w:w="349" w:type="pct"/>
            <w:vAlign w:val="center"/>
          </w:tcPr>
          <w:p w14:paraId="51159398">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台</w:t>
            </w:r>
          </w:p>
        </w:tc>
        <w:tc>
          <w:tcPr>
            <w:tcW w:w="554" w:type="pct"/>
            <w:vAlign w:val="center"/>
          </w:tcPr>
          <w:p w14:paraId="5ECC6C5C">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250</w:t>
            </w:r>
          </w:p>
        </w:tc>
        <w:tc>
          <w:tcPr>
            <w:tcW w:w="646" w:type="pct"/>
            <w:vAlign w:val="center"/>
          </w:tcPr>
          <w:p w14:paraId="503E37C4">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3750</w:t>
            </w:r>
          </w:p>
        </w:tc>
        <w:tc>
          <w:tcPr>
            <w:tcW w:w="488" w:type="pct"/>
            <w:vAlign w:val="center"/>
          </w:tcPr>
          <w:p w14:paraId="5113EFBC">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p>
        </w:tc>
        <w:tc>
          <w:tcPr>
            <w:tcW w:w="528" w:type="pct"/>
            <w:vAlign w:val="center"/>
          </w:tcPr>
          <w:p w14:paraId="4F76A99D">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p>
        </w:tc>
      </w:tr>
      <w:tr w14:paraId="44E1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64" w:type="pct"/>
            <w:vAlign w:val="center"/>
          </w:tcPr>
          <w:p w14:paraId="11875CAD">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11</w:t>
            </w:r>
          </w:p>
        </w:tc>
        <w:tc>
          <w:tcPr>
            <w:tcW w:w="1117" w:type="pct"/>
            <w:vAlign w:val="center"/>
          </w:tcPr>
          <w:p w14:paraId="3D086F3C">
            <w:pPr>
              <w:spacing w:line="240" w:lineRule="auto"/>
              <w:ind w:firstLine="0" w:firstLineChars="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平衡系数测试调整人工费</w:t>
            </w:r>
          </w:p>
        </w:tc>
        <w:tc>
          <w:tcPr>
            <w:tcW w:w="521" w:type="pct"/>
            <w:vAlign w:val="center"/>
          </w:tcPr>
          <w:p w14:paraId="0F2EDD4F">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40%～50%</w:t>
            </w:r>
          </w:p>
        </w:tc>
        <w:tc>
          <w:tcPr>
            <w:tcW w:w="329" w:type="pct"/>
            <w:vAlign w:val="center"/>
          </w:tcPr>
          <w:p w14:paraId="5BD323DC">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15</w:t>
            </w:r>
          </w:p>
        </w:tc>
        <w:tc>
          <w:tcPr>
            <w:tcW w:w="349" w:type="pct"/>
            <w:vAlign w:val="center"/>
          </w:tcPr>
          <w:p w14:paraId="6356CB7C">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台</w:t>
            </w:r>
          </w:p>
        </w:tc>
        <w:tc>
          <w:tcPr>
            <w:tcW w:w="554" w:type="pct"/>
            <w:vAlign w:val="center"/>
          </w:tcPr>
          <w:p w14:paraId="1A109C57">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900</w:t>
            </w:r>
          </w:p>
        </w:tc>
        <w:tc>
          <w:tcPr>
            <w:tcW w:w="646" w:type="pct"/>
            <w:vAlign w:val="center"/>
          </w:tcPr>
          <w:p w14:paraId="65ACBB30">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13500</w:t>
            </w:r>
          </w:p>
        </w:tc>
        <w:tc>
          <w:tcPr>
            <w:tcW w:w="488" w:type="pct"/>
            <w:vAlign w:val="center"/>
          </w:tcPr>
          <w:p w14:paraId="47042D8A">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p>
        </w:tc>
        <w:tc>
          <w:tcPr>
            <w:tcW w:w="528" w:type="pct"/>
            <w:vAlign w:val="center"/>
          </w:tcPr>
          <w:p w14:paraId="2E81FB50">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p>
        </w:tc>
      </w:tr>
      <w:tr w14:paraId="0BAA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336" w:type="pct"/>
            <w:gridSpan w:val="6"/>
            <w:vAlign w:val="center"/>
          </w:tcPr>
          <w:p w14:paraId="4AE861E3">
            <w:pPr>
              <w:spacing w:line="240" w:lineRule="auto"/>
              <w:ind w:firstLine="0" w:firstLineChars="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合计</w:t>
            </w:r>
          </w:p>
        </w:tc>
        <w:tc>
          <w:tcPr>
            <w:tcW w:w="646" w:type="pct"/>
            <w:vAlign w:val="center"/>
          </w:tcPr>
          <w:p w14:paraId="6AD72EEB">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94745.5</w:t>
            </w:r>
          </w:p>
        </w:tc>
        <w:tc>
          <w:tcPr>
            <w:tcW w:w="488" w:type="pct"/>
            <w:vAlign w:val="center"/>
          </w:tcPr>
          <w:p w14:paraId="5021B745">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p>
        </w:tc>
        <w:tc>
          <w:tcPr>
            <w:tcW w:w="528" w:type="pct"/>
            <w:vAlign w:val="center"/>
          </w:tcPr>
          <w:p w14:paraId="2C33D305">
            <w:pPr>
              <w:spacing w:line="240" w:lineRule="auto"/>
              <w:ind w:firstLine="0" w:firstLineChars="0"/>
              <w:jc w:val="center"/>
              <w:rPr>
                <w:rFonts w:hint="eastAsia" w:ascii="仿宋_GB2312" w:hAnsi="仿宋_GB2312" w:eastAsia="仿宋_GB2312" w:cs="仿宋_GB2312"/>
                <w:color w:val="auto"/>
                <w:sz w:val="24"/>
                <w:szCs w:val="24"/>
                <w:highlight w:val="none"/>
                <w:lang w:val="en-US" w:eastAsia="zh-CN"/>
              </w:rPr>
            </w:pPr>
          </w:p>
        </w:tc>
      </w:tr>
      <w:tr w14:paraId="1A5D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jc w:val="center"/>
        </w:trPr>
        <w:tc>
          <w:tcPr>
            <w:tcW w:w="5000" w:type="pct"/>
            <w:gridSpan w:val="9"/>
            <w:vAlign w:val="center"/>
          </w:tcPr>
          <w:p w14:paraId="45AA30DF">
            <w:pPr>
              <w:spacing w:line="240" w:lineRule="auto"/>
              <w:ind w:firstLine="0" w:firstLineChars="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备注：单价报价包括各种税金、运输费、搬运费、材料费、人工费、安装费等一切费用。</w:t>
            </w:r>
          </w:p>
        </w:tc>
      </w:tr>
    </w:tbl>
    <w:p w14:paraId="649DFC67">
      <w:pPr>
        <w:pageBreakBefore w:val="0"/>
        <w:widowControl w:val="0"/>
        <w:numPr>
          <w:ilvl w:val="0"/>
          <w:numId w:val="0"/>
        </w:numPr>
        <w:kinsoku/>
        <w:wordWrap/>
        <w:overflowPunct/>
        <w:topLinePunct w:val="0"/>
        <w:autoSpaceDE/>
        <w:autoSpaceDN/>
        <w:bidi w:val="0"/>
        <w:adjustRightInd/>
        <w:snapToGrid/>
        <w:spacing w:before="0" w:after="0" w:line="560" w:lineRule="exact"/>
        <w:ind w:leftChars="0"/>
        <w:jc w:val="both"/>
        <w:textAlignment w:val="auto"/>
        <w:rPr>
          <w:rFonts w:hint="default" w:ascii="宋体" w:hAnsi="宋体" w:eastAsia="宋体" w:cs="宋体"/>
          <w:sz w:val="32"/>
          <w:szCs w:val="32"/>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986" w:right="1800" w:bottom="1440" w:left="1800" w:header="851" w:footer="992" w:gutter="0"/>
      <w:pgNumType w:start="0"/>
      <w:cols w:space="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BBBB4">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06E94">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4746E">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47A3C">
    <w:pPr>
      <w:pStyle w:val="11"/>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89B3C">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94FCA">
    <w:pPr>
      <w:pStyle w:val="11"/>
      <w:pBdr>
        <w:bottom w:val="none" w:color="auto" w:sz="0" w:space="1"/>
      </w:pBdr>
      <w:ind w:firstLine="320"/>
      <w:jc w:val="left"/>
    </w:pPr>
    <w:r>
      <w:rPr>
        <w:rFonts w:ascii="Verdana" w:hAnsi="Verdana"/>
        <w:color w:val="0000FF"/>
        <w:sz w:val="16"/>
        <w:szCs w:val="16"/>
      </w:rPr>
      <w:fldChar w:fldCharType="begin"/>
    </w:r>
    <w:r>
      <w:instrText xml:space="preserve"> INCLUDEPICTURE "D:\\微信\\WeChat Files\\wxid_lzstvj1b0sqf22\\FileStorage\\File\\2022-07\\cid:image001.png@01D849A1.C19947C0" \* MERGEFORMAT </w:instrText>
    </w:r>
    <w:r>
      <w:rPr>
        <w:rFonts w:ascii="Verdana" w:hAnsi="Verdana"/>
        <w:color w:val="0000FF"/>
        <w:sz w:val="16"/>
        <w:szCs w:val="16"/>
      </w:rPr>
      <w:fldChar w:fldCharType="separate"/>
    </w:r>
    <w:r>
      <w:rPr>
        <w:rFonts w:ascii="Verdana" w:hAnsi="Verdana"/>
        <w:color w:val="0000FF"/>
        <w:sz w:val="16"/>
        <w:szCs w:val="16"/>
      </w:rPr>
      <w:fldChar w:fldCharType="begin"/>
    </w:r>
    <w:r>
      <w:instrText xml:space="preserve"> INCLUDEPICTURE "D:\\微信\\WeChat Files\\wxid_lzstvj1b0sqf22\\FileStorage\\File\\2022-07\\cid:image001.png@01D849A1.C19947C0" \* MERGEFORMAT </w:instrText>
    </w:r>
    <w:r>
      <w:rPr>
        <w:rFonts w:ascii="Verdana" w:hAnsi="Verdana"/>
        <w:color w:val="0000FF"/>
        <w:sz w:val="16"/>
        <w:szCs w:val="16"/>
      </w:rPr>
      <w:fldChar w:fldCharType="separate"/>
    </w:r>
    <w:r>
      <w:rPr>
        <w:rFonts w:ascii="Verdana" w:hAnsi="Verdana"/>
        <w:color w:val="0000FF"/>
        <w:sz w:val="16"/>
        <w:szCs w:val="16"/>
      </w:rPr>
      <w:fldChar w:fldCharType="end"/>
    </w:r>
    <w:r>
      <w:rPr>
        <w:rFonts w:ascii="Verdana" w:hAnsi="Verdana"/>
        <w:color w:val="0000FF"/>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F08B0"/>
    <w:multiLevelType w:val="singleLevel"/>
    <w:tmpl w:val="AC0F08B0"/>
    <w:lvl w:ilvl="0" w:tentative="0">
      <w:start w:val="13"/>
      <w:numFmt w:val="chineseCounting"/>
      <w:suff w:val="nothing"/>
      <w:lvlText w:val="%1、"/>
      <w:lvlJc w:val="left"/>
      <w:pPr>
        <w:ind w:left="420"/>
      </w:pPr>
      <w:rPr>
        <w:rFonts w:hint="eastAsia"/>
      </w:rPr>
    </w:lvl>
  </w:abstractNum>
  <w:abstractNum w:abstractNumId="1">
    <w:nsid w:val="30450830"/>
    <w:multiLevelType w:val="multilevel"/>
    <w:tmpl w:val="30450830"/>
    <w:lvl w:ilvl="0" w:tentative="0">
      <w:start w:val="1"/>
      <w:numFmt w:val="chineseCountingThousand"/>
      <w:pStyle w:val="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1BD6418"/>
    <w:multiLevelType w:val="multilevel"/>
    <w:tmpl w:val="31BD6418"/>
    <w:lvl w:ilvl="0" w:tentative="0">
      <w:start w:val="1"/>
      <w:numFmt w:val="chineseCountingThousand"/>
      <w:pStyle w:val="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6F31039"/>
    <w:multiLevelType w:val="multilevel"/>
    <w:tmpl w:val="76F31039"/>
    <w:lvl w:ilvl="0" w:tentative="0">
      <w:start w:val="1"/>
      <w:numFmt w:val="decimal"/>
      <w:pStyle w:val="5"/>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2MjU2MzMxMTIyNzIyYTQyZjg1OTZhMmRkYzhlY2QifQ=="/>
  </w:docVars>
  <w:rsids>
    <w:rsidRoot w:val="00DF0BC8"/>
    <w:rsid w:val="00007314"/>
    <w:rsid w:val="0002561E"/>
    <w:rsid w:val="00063577"/>
    <w:rsid w:val="00094D10"/>
    <w:rsid w:val="000A1086"/>
    <w:rsid w:val="000E1E37"/>
    <w:rsid w:val="001113CC"/>
    <w:rsid w:val="00117D5B"/>
    <w:rsid w:val="001A0112"/>
    <w:rsid w:val="001D7745"/>
    <w:rsid w:val="00204FC0"/>
    <w:rsid w:val="0021562D"/>
    <w:rsid w:val="00234685"/>
    <w:rsid w:val="00241750"/>
    <w:rsid w:val="002A3861"/>
    <w:rsid w:val="002B59A8"/>
    <w:rsid w:val="00386481"/>
    <w:rsid w:val="003B1289"/>
    <w:rsid w:val="004A74F1"/>
    <w:rsid w:val="004F133B"/>
    <w:rsid w:val="005054F2"/>
    <w:rsid w:val="005150C2"/>
    <w:rsid w:val="0052073D"/>
    <w:rsid w:val="00550DF7"/>
    <w:rsid w:val="00592E29"/>
    <w:rsid w:val="005E04C8"/>
    <w:rsid w:val="00602A77"/>
    <w:rsid w:val="006B7C04"/>
    <w:rsid w:val="00714799"/>
    <w:rsid w:val="00775800"/>
    <w:rsid w:val="007A2CD9"/>
    <w:rsid w:val="007C1121"/>
    <w:rsid w:val="00804C6D"/>
    <w:rsid w:val="008102F1"/>
    <w:rsid w:val="008A60B5"/>
    <w:rsid w:val="00904DF3"/>
    <w:rsid w:val="00905204"/>
    <w:rsid w:val="009C0A48"/>
    <w:rsid w:val="009C1749"/>
    <w:rsid w:val="00A13FC7"/>
    <w:rsid w:val="00A31B2F"/>
    <w:rsid w:val="00A60A97"/>
    <w:rsid w:val="00A95BCD"/>
    <w:rsid w:val="00AC1C83"/>
    <w:rsid w:val="00AD6761"/>
    <w:rsid w:val="00AE033C"/>
    <w:rsid w:val="00B27F0E"/>
    <w:rsid w:val="00B34842"/>
    <w:rsid w:val="00B4617C"/>
    <w:rsid w:val="00B57F8D"/>
    <w:rsid w:val="00BB5C38"/>
    <w:rsid w:val="00BC70A3"/>
    <w:rsid w:val="00BF38A1"/>
    <w:rsid w:val="00C537E1"/>
    <w:rsid w:val="00C707E0"/>
    <w:rsid w:val="00CA536F"/>
    <w:rsid w:val="00CF3309"/>
    <w:rsid w:val="00CF4308"/>
    <w:rsid w:val="00D21FF1"/>
    <w:rsid w:val="00D5385D"/>
    <w:rsid w:val="00D55C75"/>
    <w:rsid w:val="00DF0BC8"/>
    <w:rsid w:val="00E41054"/>
    <w:rsid w:val="00E605FE"/>
    <w:rsid w:val="00E749B7"/>
    <w:rsid w:val="00E74C76"/>
    <w:rsid w:val="00E912B2"/>
    <w:rsid w:val="00F74DB9"/>
    <w:rsid w:val="00F75D68"/>
    <w:rsid w:val="00F853F2"/>
    <w:rsid w:val="00F857C1"/>
    <w:rsid w:val="00FD1BB5"/>
    <w:rsid w:val="01A324E9"/>
    <w:rsid w:val="037D4F88"/>
    <w:rsid w:val="03A82965"/>
    <w:rsid w:val="05A139DF"/>
    <w:rsid w:val="05BB6053"/>
    <w:rsid w:val="064E5119"/>
    <w:rsid w:val="088A64CF"/>
    <w:rsid w:val="09E67F86"/>
    <w:rsid w:val="0AD83203"/>
    <w:rsid w:val="0B5E16F9"/>
    <w:rsid w:val="0BAD643E"/>
    <w:rsid w:val="0CB16402"/>
    <w:rsid w:val="0CC2522B"/>
    <w:rsid w:val="0D725D44"/>
    <w:rsid w:val="0E9049F0"/>
    <w:rsid w:val="0F5F2145"/>
    <w:rsid w:val="10134CDE"/>
    <w:rsid w:val="12D45DCF"/>
    <w:rsid w:val="136A013D"/>
    <w:rsid w:val="13A26AA4"/>
    <w:rsid w:val="150C68CB"/>
    <w:rsid w:val="151C3DB3"/>
    <w:rsid w:val="16842491"/>
    <w:rsid w:val="16F969DB"/>
    <w:rsid w:val="175E2CE2"/>
    <w:rsid w:val="18B25677"/>
    <w:rsid w:val="1A134258"/>
    <w:rsid w:val="1B925650"/>
    <w:rsid w:val="1E674B72"/>
    <w:rsid w:val="1F2667DB"/>
    <w:rsid w:val="1F8139A5"/>
    <w:rsid w:val="1F921598"/>
    <w:rsid w:val="1FE741BD"/>
    <w:rsid w:val="24A00DDE"/>
    <w:rsid w:val="252E2F5F"/>
    <w:rsid w:val="260452F8"/>
    <w:rsid w:val="26F51EB2"/>
    <w:rsid w:val="27BA16F8"/>
    <w:rsid w:val="2AA131BA"/>
    <w:rsid w:val="2C2E4F21"/>
    <w:rsid w:val="2C6D5A4A"/>
    <w:rsid w:val="2CAE7E10"/>
    <w:rsid w:val="2E5543E5"/>
    <w:rsid w:val="2EA80FBB"/>
    <w:rsid w:val="2EE61AE3"/>
    <w:rsid w:val="2F990904"/>
    <w:rsid w:val="300D4E4E"/>
    <w:rsid w:val="322667B0"/>
    <w:rsid w:val="34C30E3F"/>
    <w:rsid w:val="34D4418C"/>
    <w:rsid w:val="3524017A"/>
    <w:rsid w:val="35E825E5"/>
    <w:rsid w:val="370E7E29"/>
    <w:rsid w:val="393A114C"/>
    <w:rsid w:val="39AA57EF"/>
    <w:rsid w:val="39EE3AB4"/>
    <w:rsid w:val="3B0532F1"/>
    <w:rsid w:val="3B673668"/>
    <w:rsid w:val="3CAE210E"/>
    <w:rsid w:val="3DAC3EF8"/>
    <w:rsid w:val="3DE418E4"/>
    <w:rsid w:val="3DEE2762"/>
    <w:rsid w:val="3E9A6AB6"/>
    <w:rsid w:val="42B27D92"/>
    <w:rsid w:val="42DE2DA6"/>
    <w:rsid w:val="446C6A68"/>
    <w:rsid w:val="44B80518"/>
    <w:rsid w:val="45991206"/>
    <w:rsid w:val="47E47A80"/>
    <w:rsid w:val="481467DB"/>
    <w:rsid w:val="49425710"/>
    <w:rsid w:val="494C5ED5"/>
    <w:rsid w:val="4EA756EB"/>
    <w:rsid w:val="4F22401A"/>
    <w:rsid w:val="4F2A7373"/>
    <w:rsid w:val="50E53551"/>
    <w:rsid w:val="523A7548"/>
    <w:rsid w:val="53426A39"/>
    <w:rsid w:val="536417BE"/>
    <w:rsid w:val="56220DA3"/>
    <w:rsid w:val="56F60B23"/>
    <w:rsid w:val="57F058C3"/>
    <w:rsid w:val="5A3317D1"/>
    <w:rsid w:val="5AFB7EE0"/>
    <w:rsid w:val="5C16121D"/>
    <w:rsid w:val="5C8005D2"/>
    <w:rsid w:val="5D101DF0"/>
    <w:rsid w:val="5D17527D"/>
    <w:rsid w:val="5D3A149E"/>
    <w:rsid w:val="5E2D4789"/>
    <w:rsid w:val="60306B4A"/>
    <w:rsid w:val="60575129"/>
    <w:rsid w:val="61A15272"/>
    <w:rsid w:val="61AF7277"/>
    <w:rsid w:val="645C7B76"/>
    <w:rsid w:val="65FE4007"/>
    <w:rsid w:val="6716225F"/>
    <w:rsid w:val="67211A19"/>
    <w:rsid w:val="675E2E21"/>
    <w:rsid w:val="67A85F58"/>
    <w:rsid w:val="67EB36EB"/>
    <w:rsid w:val="67EE4F89"/>
    <w:rsid w:val="681D761D"/>
    <w:rsid w:val="6BC06C3D"/>
    <w:rsid w:val="6D090170"/>
    <w:rsid w:val="6D5C347A"/>
    <w:rsid w:val="6D746CED"/>
    <w:rsid w:val="6D806684"/>
    <w:rsid w:val="6DC14958"/>
    <w:rsid w:val="6FA27D3A"/>
    <w:rsid w:val="6FDF1C0B"/>
    <w:rsid w:val="70FC24C5"/>
    <w:rsid w:val="72EE343D"/>
    <w:rsid w:val="737A1DC7"/>
    <w:rsid w:val="73CB6FA4"/>
    <w:rsid w:val="74564B53"/>
    <w:rsid w:val="75640639"/>
    <w:rsid w:val="779F1DFC"/>
    <w:rsid w:val="789E0E0D"/>
    <w:rsid w:val="78B00712"/>
    <w:rsid w:val="794C7D62"/>
    <w:rsid w:val="7C7A6994"/>
    <w:rsid w:val="7DA95783"/>
    <w:rsid w:val="7E0F0F24"/>
    <w:rsid w:val="7E837D82"/>
    <w:rsid w:val="7FB31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line="360" w:lineRule="auto"/>
      <w:ind w:firstLine="200" w:firstLineChars="200"/>
      <w:jc w:val="both"/>
    </w:pPr>
    <w:rPr>
      <w:rFonts w:asciiTheme="minorHAnsi" w:hAnsiTheme="minorHAnsi" w:eastAsiaTheme="maj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numPr>
        <w:ilvl w:val="0"/>
        <w:numId w:val="1"/>
      </w:numPr>
      <w:spacing w:before="260" w:after="260" w:line="416" w:lineRule="auto"/>
      <w:ind w:firstLine="0" w:firstLineChars="0"/>
      <w:outlineLvl w:val="1"/>
    </w:pPr>
    <w:rPr>
      <w:rFonts w:asciiTheme="majorHAnsi" w:hAnsiTheme="majorHAnsi" w:cstheme="majorBidi"/>
      <w:b/>
      <w:bCs/>
      <w:sz w:val="32"/>
      <w:szCs w:val="32"/>
    </w:rPr>
  </w:style>
  <w:style w:type="paragraph" w:styleId="4">
    <w:name w:val="heading 3"/>
    <w:basedOn w:val="1"/>
    <w:next w:val="1"/>
    <w:link w:val="27"/>
    <w:unhideWhenUsed/>
    <w:qFormat/>
    <w:uiPriority w:val="9"/>
    <w:pPr>
      <w:keepNext/>
      <w:keepLines/>
      <w:numPr>
        <w:ilvl w:val="0"/>
        <w:numId w:val="2"/>
      </w:numPr>
      <w:spacing w:before="260" w:after="260" w:line="415" w:lineRule="auto"/>
      <w:ind w:firstLine="0" w:firstLineChars="0"/>
      <w:outlineLvl w:val="2"/>
    </w:pPr>
    <w:rPr>
      <w:b/>
      <w:bCs/>
      <w:sz w:val="24"/>
      <w:szCs w:val="32"/>
    </w:rPr>
  </w:style>
  <w:style w:type="paragraph" w:styleId="5">
    <w:name w:val="heading 4"/>
    <w:basedOn w:val="1"/>
    <w:next w:val="1"/>
    <w:link w:val="28"/>
    <w:unhideWhenUsed/>
    <w:qFormat/>
    <w:uiPriority w:val="9"/>
    <w:pPr>
      <w:keepNext/>
      <w:keepLines/>
      <w:numPr>
        <w:ilvl w:val="0"/>
        <w:numId w:val="3"/>
      </w:numPr>
      <w:spacing w:before="280" w:after="290" w:line="377" w:lineRule="auto"/>
      <w:ind w:left="198" w:firstLine="0" w:firstLineChars="0"/>
      <w:outlineLvl w:val="3"/>
    </w:pPr>
    <w:rPr>
      <w:rFonts w:asciiTheme="majorHAnsi" w:hAnsiTheme="majorHAnsi"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21"/>
    <w:qFormat/>
    <w:uiPriority w:val="0"/>
    <w:pPr>
      <w:jc w:val="center"/>
    </w:pPr>
    <w:rPr>
      <w:rFonts w:ascii="宋体" w:hAnsi="Times New Roman" w:eastAsia="宋体" w:cs="Times New Roman"/>
      <w:spacing w:val="16"/>
      <w:sz w:val="24"/>
      <w:szCs w:val="20"/>
    </w:rPr>
  </w:style>
  <w:style w:type="paragraph" w:styleId="7">
    <w:name w:val="Body Text Indent"/>
    <w:basedOn w:val="1"/>
    <w:link w:val="24"/>
    <w:semiHidden/>
    <w:unhideWhenUsed/>
    <w:qFormat/>
    <w:uiPriority w:val="99"/>
    <w:pPr>
      <w:ind w:left="420" w:leftChars="200"/>
    </w:pPr>
  </w:style>
  <w:style w:type="paragraph" w:styleId="8">
    <w:name w:val="toc 3"/>
    <w:basedOn w:val="1"/>
    <w:next w:val="1"/>
    <w:unhideWhenUsed/>
    <w:qFormat/>
    <w:uiPriority w:val="39"/>
    <w:pPr>
      <w:widowControl/>
      <w:spacing w:before="0" w:after="100" w:line="259" w:lineRule="auto"/>
      <w:ind w:left="440" w:firstLine="0" w:firstLineChars="0"/>
      <w:jc w:val="left"/>
    </w:pPr>
    <w:rPr>
      <w:rFonts w:cs="Times New Roman" w:eastAsiaTheme="minorEastAsia"/>
      <w:kern w:val="0"/>
      <w:sz w:val="22"/>
    </w:rPr>
  </w:style>
  <w:style w:type="paragraph" w:styleId="9">
    <w:name w:val="Body Text Indent 2"/>
    <w:basedOn w:val="1"/>
    <w:link w:val="23"/>
    <w:semiHidden/>
    <w:unhideWhenUsed/>
    <w:qFormat/>
    <w:uiPriority w:val="99"/>
    <w:pPr>
      <w:spacing w:line="480" w:lineRule="auto"/>
      <w:ind w:left="420" w:leftChars="200"/>
    </w:p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before="0" w:after="100" w:line="259" w:lineRule="auto"/>
      <w:ind w:firstLine="0" w:firstLineChars="0"/>
      <w:jc w:val="left"/>
    </w:pPr>
    <w:rPr>
      <w:rFonts w:cs="Times New Roman" w:eastAsiaTheme="minorEastAsia"/>
      <w:kern w:val="0"/>
      <w:sz w:val="22"/>
    </w:rPr>
  </w:style>
  <w:style w:type="paragraph" w:styleId="13">
    <w:name w:val="toc 2"/>
    <w:basedOn w:val="1"/>
    <w:next w:val="1"/>
    <w:unhideWhenUsed/>
    <w:qFormat/>
    <w:uiPriority w:val="39"/>
    <w:pPr>
      <w:widowControl/>
      <w:spacing w:before="0" w:after="100" w:line="259" w:lineRule="auto"/>
      <w:ind w:left="220" w:firstLine="0" w:firstLineChars="0"/>
      <w:jc w:val="left"/>
    </w:pPr>
    <w:rPr>
      <w:rFonts w:cs="Times New Roman" w:eastAsiaTheme="minorEastAsia"/>
      <w:kern w:val="0"/>
      <w:sz w:val="2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character" w:customStyle="1" w:styleId="18">
    <w:name w:val="页眉 字符"/>
    <w:basedOn w:val="16"/>
    <w:link w:val="11"/>
    <w:qFormat/>
    <w:uiPriority w:val="99"/>
    <w:rPr>
      <w:sz w:val="18"/>
      <w:szCs w:val="18"/>
    </w:rPr>
  </w:style>
  <w:style w:type="character" w:customStyle="1" w:styleId="19">
    <w:name w:val="页脚 字符"/>
    <w:basedOn w:val="16"/>
    <w:link w:val="10"/>
    <w:qFormat/>
    <w:uiPriority w:val="99"/>
    <w:rPr>
      <w:sz w:val="18"/>
      <w:szCs w:val="18"/>
    </w:rPr>
  </w:style>
  <w:style w:type="paragraph" w:styleId="20">
    <w:name w:val="List Paragraph"/>
    <w:basedOn w:val="1"/>
    <w:qFormat/>
    <w:uiPriority w:val="34"/>
    <w:pPr>
      <w:ind w:firstLine="420"/>
    </w:pPr>
  </w:style>
  <w:style w:type="character" w:customStyle="1" w:styleId="21">
    <w:name w:val="正文文本 字符"/>
    <w:basedOn w:val="16"/>
    <w:link w:val="6"/>
    <w:qFormat/>
    <w:uiPriority w:val="0"/>
    <w:rPr>
      <w:rFonts w:ascii="宋体" w:hAnsi="Times New Roman" w:eastAsia="宋体" w:cs="Times New Roman"/>
      <w:spacing w:val="16"/>
      <w:sz w:val="24"/>
      <w:szCs w:val="20"/>
    </w:rPr>
  </w:style>
  <w:style w:type="paragraph" w:customStyle="1" w:styleId="22">
    <w:name w:val=".."/>
    <w:basedOn w:val="1"/>
    <w:next w:val="1"/>
    <w:qFormat/>
    <w:uiPriority w:val="0"/>
    <w:pPr>
      <w:autoSpaceDE w:val="0"/>
      <w:autoSpaceDN w:val="0"/>
      <w:adjustRightInd w:val="0"/>
      <w:jc w:val="left"/>
    </w:pPr>
    <w:rPr>
      <w:rFonts w:ascii=".." w:hAnsi="Times New Roman" w:eastAsia=".." w:cs="Times New Roman"/>
      <w:kern w:val="0"/>
      <w:sz w:val="24"/>
      <w:szCs w:val="24"/>
    </w:rPr>
  </w:style>
  <w:style w:type="character" w:customStyle="1" w:styleId="23">
    <w:name w:val="正文文本缩进 2 字符"/>
    <w:basedOn w:val="16"/>
    <w:link w:val="9"/>
    <w:semiHidden/>
    <w:qFormat/>
    <w:uiPriority w:val="99"/>
  </w:style>
  <w:style w:type="character" w:customStyle="1" w:styleId="24">
    <w:name w:val="正文文本缩进 字符"/>
    <w:basedOn w:val="16"/>
    <w:link w:val="7"/>
    <w:semiHidden/>
    <w:qFormat/>
    <w:uiPriority w:val="99"/>
  </w:style>
  <w:style w:type="character" w:customStyle="1" w:styleId="25">
    <w:name w:val="标题 1 字符"/>
    <w:basedOn w:val="16"/>
    <w:link w:val="2"/>
    <w:qFormat/>
    <w:uiPriority w:val="9"/>
    <w:rPr>
      <w:b/>
      <w:bCs/>
      <w:kern w:val="44"/>
      <w:sz w:val="44"/>
      <w:szCs w:val="44"/>
    </w:rPr>
  </w:style>
  <w:style w:type="character" w:customStyle="1" w:styleId="26">
    <w:name w:val="标题 2 字符"/>
    <w:basedOn w:val="16"/>
    <w:link w:val="3"/>
    <w:qFormat/>
    <w:uiPriority w:val="9"/>
    <w:rPr>
      <w:rFonts w:asciiTheme="majorHAnsi" w:hAnsiTheme="majorHAnsi" w:eastAsiaTheme="majorEastAsia" w:cstheme="majorBidi"/>
      <w:b/>
      <w:bCs/>
      <w:sz w:val="32"/>
      <w:szCs w:val="32"/>
    </w:rPr>
  </w:style>
  <w:style w:type="character" w:customStyle="1" w:styleId="27">
    <w:name w:val="标题 3 字符"/>
    <w:basedOn w:val="16"/>
    <w:link w:val="4"/>
    <w:qFormat/>
    <w:uiPriority w:val="9"/>
    <w:rPr>
      <w:rFonts w:eastAsiaTheme="majorEastAsia"/>
      <w:b/>
      <w:bCs/>
      <w:sz w:val="24"/>
      <w:szCs w:val="32"/>
    </w:rPr>
  </w:style>
  <w:style w:type="character" w:customStyle="1" w:styleId="28">
    <w:name w:val="标题 4 字符"/>
    <w:basedOn w:val="16"/>
    <w:link w:val="5"/>
    <w:qFormat/>
    <w:uiPriority w:val="9"/>
    <w:rPr>
      <w:rFonts w:asciiTheme="majorHAnsi" w:hAnsiTheme="majorHAnsi" w:eastAsiaTheme="majorEastAsia" w:cstheme="majorBidi"/>
      <w:b/>
      <w:bCs/>
      <w:sz w:val="28"/>
      <w:szCs w:val="28"/>
    </w:rPr>
  </w:style>
  <w:style w:type="paragraph" w:styleId="29">
    <w:name w:val="No Spacing"/>
    <w:link w:val="30"/>
    <w:qFormat/>
    <w:uiPriority w:val="1"/>
    <w:rPr>
      <w:rFonts w:asciiTheme="minorHAnsi" w:hAnsiTheme="minorHAnsi" w:eastAsiaTheme="minorEastAsia" w:cstheme="minorBidi"/>
      <w:sz w:val="22"/>
      <w:szCs w:val="22"/>
      <w:lang w:val="en-US" w:eastAsia="zh-CN" w:bidi="ar-SA"/>
    </w:rPr>
  </w:style>
  <w:style w:type="character" w:customStyle="1" w:styleId="30">
    <w:name w:val="无间隔 字符"/>
    <w:basedOn w:val="16"/>
    <w:link w:val="29"/>
    <w:qFormat/>
    <w:uiPriority w:val="1"/>
    <w:rPr>
      <w:kern w:val="0"/>
      <w:sz w:val="22"/>
    </w:rPr>
  </w:style>
  <w:style w:type="paragraph" w:customStyle="1" w:styleId="31">
    <w:name w:val="TOC 标题1"/>
    <w:basedOn w:val="2"/>
    <w:next w:val="1"/>
    <w:unhideWhenUsed/>
    <w:qFormat/>
    <w:uiPriority w:val="39"/>
    <w:pPr>
      <w:widowControl/>
      <w:spacing w:before="240" w:after="0" w:line="259" w:lineRule="auto"/>
      <w:ind w:firstLine="0" w:firstLineChars="0"/>
      <w:jc w:val="left"/>
      <w:outlineLvl w:val="9"/>
    </w:pPr>
    <w:rPr>
      <w:rFonts w:asciiTheme="majorHAnsi" w:hAnsiTheme="majorHAnsi"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0AA7E-CEC0-4AA8-8FEC-5A409EEA27E6}">
  <ds:schemaRefs/>
</ds:datastoreItem>
</file>

<file path=docProps/app.xml><?xml version="1.0" encoding="utf-8"?>
<Properties xmlns="http://schemas.openxmlformats.org/officeDocument/2006/extended-properties" xmlns:vt="http://schemas.openxmlformats.org/officeDocument/2006/docPropsVTypes">
  <Template>Normal</Template>
  <Pages>11</Pages>
  <Words>3217</Words>
  <Characters>3704</Characters>
  <Lines>27</Lines>
  <Paragraphs>7</Paragraphs>
  <TotalTime>2</TotalTime>
  <ScaleCrop>false</ScaleCrop>
  <LinksUpToDate>false</LinksUpToDate>
  <CharactersWithSpaces>3718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2024-06-11T09:30:00Z</dcterms:created>
  <dc:creator>Shaoping.Wang@otis.com</dc:creator>
  <cp:lastModifiedBy>秋秋</cp:lastModifiedBy>
  <dcterms:modified xsi:type="dcterms:W3CDTF">2024-07-29T07:03:37Z</dcterms:modified>
  <dc:subject>电梯空调安装设计方案</dc:subject>
  <dc:title>奥的斯机电电梯有限公司成都分公司</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6FE652FDE0864C8FBF9AC4CB19DAA086_13</vt:lpwstr>
  </property>
</Properties>
</file>