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中山大学附属第一医院广西医院蛋类需求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pPr w:leftFromText="180" w:rightFromText="180" w:vertAnchor="text" w:horzAnchor="page" w:tblpXSpec="center" w:tblpY="227"/>
        <w:tblOverlap w:val="never"/>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190"/>
        <w:gridCol w:w="3535"/>
        <w:gridCol w:w="1592"/>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品种</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包装规格</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供货价（元）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白皮鸡蛋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360个/箱、约45斤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5.2元/斤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红皮鸡蛋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360个/箱、约45斤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5.7元/斤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礼盒小土鸡蛋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30个/盒/约3斤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23元/盒</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皮蛋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30个/托</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1.3元/个</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红心咸鸭蛋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30个/托</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1.3元/个</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鹌鹑蛋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20斤/箱</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7.8元/斤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小土鸡蛋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360个/箱、约32斤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7.5元/斤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力源香鸡蛋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12枚/盒</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13元/盒</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力源礼盒装土鸡蛋</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36枚/盒</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43元/盒</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bl>
    <w:p/>
    <w:p>
      <w:bookmarkStart w:id="0" w:name="_GoBack"/>
      <w:bookmarkEnd w:id="0"/>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肉类供应要求（包括禽类、畜类、水产类、冷冻类）：</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1.1食材无毒、无害、无污染，符合国家、行业及地方的食品卫生及安全标准，农产品符合国家、行业及地方的无公害农产品标准，安全、卫生和动植物检验、检疫项目按照国家有关规定执行。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多样性和季节性，保持食材新鲜；供货商派专人1-2名按要求处理肉类及水产类食材，包括帮分割、砍、切、去鱼鳞等服务。每天按采购人要求按时送货到场，负责卸货并搬运至指定存放地点，质量不符合要求不予验收。必须满足随时加菜需求，并按指定时间送达。</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1.3带包装的食材外包装完整，包装材料清洁、卫生，符合国家食品卫生标准的规定；在有效质保期内，供货时的剩余质保期不得少于标注有效期的三分之二。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1.4冷冻食品肉体冻实而坚硬，无化冻现象；清晰列出产品品牌、规格、类型、包装方式、包装净重、含冰量等相关参数；冷冻畜肉类食品解冻后净重量不少于95%，解冻时间为4小时以内（室温 20℃)。</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1.5冷冻食品原料包装要有SC许可编码。包装上标注清晰，生产日期不早于供货期6个月且在保质期内。</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1.6预包装半加工的冷冻食品：包装要有生产日期标识且符合国家法定标准并有质量安全标识。</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1.7所供货物应保持较好的外观，符合国家食品部门的有关标准，保证无异味、无霉烂变质，每次交货时提供本批次产品的出厂（库）检验合格证明（随车同行）：《产品合格证》、《卫生检疫报告》。</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1.8新鲜肉符合国家食品部门的有关标准，保证无异味、无霉烂变质。每批鲜肉可以是来源于正规肉屠宰场，每次交货时提供本批次产品的出厂（库）检验合格证明（随车同行）：《产品合格证》、《卫生检疫报告》。新鲜肉为当天正规屠宰场宰杀；每批鲜肉也可以是南宁市及周边城区政府指定的单位发出的鲜肉并提供动物检疫合格证复印件（供货时提供原件核查）。</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鸡、鸭、鹅等禽类：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家禽类渠道来源正规可溯，以大型养殖场品牌产品为佳，禽类的表皮光滑，新鲜肥嫩，无内脏，眼球饱满或平坦，皮肤有光泽，根据品种的不同而呈现出家禽原有的自然颜色，肌肉切面有光泽，表皮微湿润，不粘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土鸡（光）：新鲜、洁净、无注水、无异味、无毛，180天以上，光鸡重约2.5～3.2斤/只。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安铺鸡（光）：新鲜、洁净，无注水，肉质鲜嫩，无异味，无毛，240 天以上，光鸡重约 4.5～5.5斤/只。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老土鸡（光）：新鲜、洁净，无注水，无毛，肉质鲜嫩，无异味，360天以上，光鸡重约2.6～3.2斤/只。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乌鸡（光）：新鲜、洁净，肉质鲜嫩，无异味、无毛、无注水，180 天以上，光鸡重约2.5～3.2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土鸭（光）：新鲜、洁净，无注水，无毛，肉质鲜嫩，无异味，鸭肉皮色泽略呈肉白色，180天以上，光鸭重约3.8～4.5斤/只。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绿头土鸭（光）：新鲜、洁净，无注水，无毛，肉质鲜嫩，无异味，鸭肉皮色泽略呈肉白色，180天以上，光鸭重约4～5斤/只。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西洋鸭（光）：新鲜、洁净，无注水，无毛，肉质鲜嫩，无异味，鸭肉皮色泽略呈肉白色，180天以上，光鸭重约4.5～5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老鸭（光）：新鲜、洁净，无注水，无毛，肉质鲜嫩，无异味，鸭肉皮色泽略呈肉白色，360天以上，光鸭重约4～5斤/只。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土鹅（光）：新鲜、洁净，无注水，无毛，肉质鲜嫩，无异味，鸭肉皮色泽略呈肉白色，180 天以上，光鹅重约7～8斤/只。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乳鸽（光）：新鲜、洁净，无毛，肉质鲜嫩，无异味、无注水，重约 0.6～0.8斤/只。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鹧鸪（光）：新鲜、洁净，无毛，肉质鲜嫩，无异味、无注水，重约0.5～0.7斤/只。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鲜鸭肾：新鲜、洁净，无异味，无腐烂变质，约6个/斤。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鲜鸡肾：新鲜、洁净，无异味，无腐烂变质，约12-15个/斤。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鸭爪：新鲜、洁净，无异味，无腐烂变质，约8个/斤。</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猪、牛、羊等畜类：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中标或成交人配送的猪肉、牛肉、羊肉等渠道来源正规可溯，以大型养殖场品牌产品为佳，肉类来源于项目所在地正规肉联厂。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猪瘦肉：新鲜、洁净，无注水、肉质鲜嫩，无异味、肥瘦适中、无杂质。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猪大排骨：新鲜、洁净，无注水，肉质鲜嫩，无异味、无杂质。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猪筒骨：新鲜、洁净，无异味，无杂质。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猪沙骨：新鲜、洁净，无注水，肉质鲜嫩，无异味、无杂质。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带皮（去皮）五花肉：整齐块状（切掉边料），新鲜、洁净，无注水、肉质鲜嫩，无异味、肥瘦适中、无毛。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净猪肚：新鲜、洁净，无异味、无注水、无油。约 1.5-2.5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猪净耳朵：新鲜、洁净、无异味、烧好无毛。约0.3-0.5 斤/个。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猪耳朵：新鲜、洁净、无异味、烧好无毛。约0.6-0.7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开边猪脚(前脚）：新鲜、洁净，无异味、烧好无毛、无杂质。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猪净猪舌头：新鲜、洁净，无异味。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猪里脊肉：新鲜、洁净，不带脂肪层、去肉皮、去筋膜、无注水、无异味。约 3～5 斤/条。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4.水产类：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4.1活鱼类：在水中游动自如，反应敏捷；体色清亮，手摸有黏滑感；鳞片完整无损，无皮下出血现象及血色鱼鳞；鱼眼清亮，角膜透明，皮肤天然色泽；无伤残、无畸形、无病害。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内脏鲜红，肠鳃坚韧有弹性，胆囊完整，腹腔清洁。加工：根据采购人的需要，按照时间和规格要求进行宰杀、分割、砍件、分条等。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4.5蟹类：体肥、甲壳色泽正常，腹部洁白，雌蟹有膏时，头胸甲棘尖，反面透黄色，螯及蟹脚有力，单体重 0.25-0.35kg。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4.6贝类：外壳具固有色泽、平时微张口、受惊闭合，斧足与触管伸缩灵活，具固有气味。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5.冷冻家禽类（鸡翅、鸡尖及边鸭等）：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5.1原料包装要有SC许可编码。如进口原料的外包装要有中文标识。无淤血、色泽光亮、无毛。鸡翅单体重0.1-0.15kg。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5.2冻品类：原包装要有SC许可编码，包装上食品新鲜标注清晰，生产日期不早于供货期6个月且在保质期内。</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5.3鸡腿、鸡翅、预包装半加工的冷冻食品：包装要有生产日期标识，且包装标识必须符合国家法定标准并有质量安全标识。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6.中标或成交人签订合同时需提供品牌或正规肉联厂肉类采购合同和相关负责人联系方式等材料，以便于及时追溯各生产基地的产品质量。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所供货物应保持较好的外观和质量等级，符合国家食品部门的有关标准，保证无异味、无霉烂变质，肉类保证来源于正规肉联厂，供货时需提交肉联厂的验收单及当批次有效的动物检疫合格证复印件，鲜肉确保每日新鲜，交货时干净、新鲜、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8.所有货物规格符合采购人提交的日采购计划中明确的具体需求。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2024-02-28T10:19:40Z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C755634CF21B4319B0B016A41BB0C9B8_13</vt:lpwstr>
  </property>
</Properties>
</file>