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E036">
      <w:pPr>
        <w:jc w:val="center"/>
        <w:rPr>
          <w:rFonts w:hint="eastAsia" w:ascii="Times New Roman" w:hAnsi="Times New Roman" w:eastAsia="仿宋_GB2312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sz w:val="40"/>
          <w:szCs w:val="40"/>
          <w:lang w:val="en-US" w:eastAsia="zh-CN"/>
        </w:rPr>
        <w:t>中山大学附属第一医院广西医院48口网络交换机</w:t>
      </w:r>
      <w:r>
        <w:rPr>
          <w:rFonts w:hint="eastAsia" w:ascii="Times New Roman" w:hAnsi="Times New Roman" w:eastAsia="仿宋_GB2312" w:cs="Times New Roman"/>
          <w:b/>
          <w:bCs/>
          <w:sz w:val="40"/>
          <w:szCs w:val="40"/>
        </w:rPr>
        <w:t>项目需求</w:t>
      </w:r>
    </w:p>
    <w:p w14:paraId="33EAF2F8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一、技术参数</w:t>
      </w:r>
    </w:p>
    <w:tbl>
      <w:tblPr>
        <w:tblStyle w:val="7"/>
        <w:tblW w:w="50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1"/>
      </w:tblGrid>
      <w:tr w14:paraId="7DD1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A2EC3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</w:tr>
      <w:tr w14:paraId="63D2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AFDC09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标注“▲”的条款为实质性要求，如不满足则按无效响应处理</w:t>
            </w:r>
          </w:p>
          <w:p w14:paraId="2DD843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1、▲硬件性能：交换容量≥432Gbps，包转发率≥144Mpps。</w:t>
            </w:r>
          </w:p>
          <w:p w14:paraId="5CA21B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2、▲单台配置：千兆电口≥48个，万兆光口≥4个。</w:t>
            </w:r>
          </w:p>
          <w:p w14:paraId="51F893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3、支持STP、RSTP、MSTP、PVST功能；支持ERPS功能；支持虚拟化功能，包括堆叠链路冗余、负载分担、单点管理功能。</w:t>
            </w:r>
          </w:p>
          <w:p w14:paraId="48513A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4、▲支持纵向网络虚拟化功能，包括自动化上线、自动配置、集中式转发、本地转发、持续转发、故障设备替换等功能</w:t>
            </w:r>
          </w:p>
          <w:p w14:paraId="6F44F7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5、支持链路聚合功能；支持BFD和协议的联动功能，协议包括IPv4/IPv6路由协议、VRRP协议；支持RRPP功能、支持OSPF FRR功能。</w:t>
            </w:r>
          </w:p>
          <w:p w14:paraId="43E293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6、▲支持零配置启动、CPU 保护、设备内存及Flash容量查询、子卡功能；支持SAVI功能；支持NQA功能；支持云平台管理功能；</w:t>
            </w:r>
          </w:p>
          <w:p w14:paraId="665247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7、支持IGMP Snooping、MLD Snooping 等组播协议；支持802.lX、Portal 、Triple等认证方式；支持DHCP/DHCPv6 Snooping功能。</w:t>
            </w:r>
          </w:p>
          <w:p w14:paraId="04D448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8、为保证网管平台兼容性，要求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产品能被现有网管平台纳管，无需额外的对接开发工作，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现场响应时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须按院方要求提供第三方出具的兼容证明；</w:t>
            </w:r>
          </w:p>
        </w:tc>
      </w:tr>
    </w:tbl>
    <w:p w14:paraId="38FE5C39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二、商务要求</w:t>
      </w: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11"/>
        <w:gridCol w:w="7131"/>
      </w:tblGrid>
      <w:tr w14:paraId="6D82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39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0A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目录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ED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商务要求</w:t>
            </w:r>
          </w:p>
        </w:tc>
      </w:tr>
      <w:tr w14:paraId="67CB8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4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A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免费保修期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B3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货物免费保修期</w:t>
            </w:r>
            <w:r>
              <w:rPr>
                <w:rStyle w:val="10"/>
                <w:rFonts w:hint="default"/>
                <w:sz w:val="21"/>
                <w:szCs w:val="21"/>
                <w:u w:val="single"/>
                <w:lang w:bidi="ar"/>
              </w:rPr>
              <w:t xml:space="preserve"> 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Style w:val="11"/>
                <w:rFonts w:hint="default"/>
                <w:color w:val="auto"/>
                <w:sz w:val="21"/>
                <w:szCs w:val="21"/>
                <w:lang w:bidi="ar"/>
              </w:rPr>
              <w:t>年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，时间自最终验收合格并交付使用之日起计算。</w:t>
            </w:r>
          </w:p>
        </w:tc>
      </w:tr>
      <w:tr w14:paraId="353B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C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9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维修响应及故障解决时间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3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在保修期内，一旦发生质量问题，响应供应商保证在接到通知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小时内赶到现场进行修理或更换。</w:t>
            </w:r>
          </w:p>
        </w:tc>
      </w:tr>
      <w:tr w14:paraId="04432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A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发生质量问题的处理方式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28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免费保修期内，如果有因质量问题而引起的损坏，成交单位应对产品予以维修或更换，全部服务费和更换产品或配件的费用由成交单位承担，成交单位如不能修理或不能调换，按产品原价赔偿处理。</w:t>
            </w:r>
          </w:p>
        </w:tc>
      </w:tr>
    </w:tbl>
    <w:p w14:paraId="727618D2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0EFA9D0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8EC4D22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DB0E49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C97E654">
      <w:pPr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18" w:right="1531" w:bottom="141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FE743EE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5E665F23"/>
    <w:rsid w:val="00126705"/>
    <w:rsid w:val="002B4A55"/>
    <w:rsid w:val="00590CDE"/>
    <w:rsid w:val="005E2548"/>
    <w:rsid w:val="006B5A5B"/>
    <w:rsid w:val="007B15B1"/>
    <w:rsid w:val="00910447"/>
    <w:rsid w:val="009C3E09"/>
    <w:rsid w:val="00A7413C"/>
    <w:rsid w:val="00AD7240"/>
    <w:rsid w:val="00AE4D03"/>
    <w:rsid w:val="00B07FAB"/>
    <w:rsid w:val="00B33401"/>
    <w:rsid w:val="00BB66A7"/>
    <w:rsid w:val="00C42AFD"/>
    <w:rsid w:val="00C71D23"/>
    <w:rsid w:val="00E269C8"/>
    <w:rsid w:val="00E518BA"/>
    <w:rsid w:val="00E52656"/>
    <w:rsid w:val="00F1330E"/>
    <w:rsid w:val="00FC784A"/>
    <w:rsid w:val="02A56FC2"/>
    <w:rsid w:val="049C10C2"/>
    <w:rsid w:val="05DF20B2"/>
    <w:rsid w:val="080C0DE8"/>
    <w:rsid w:val="0DF91E0E"/>
    <w:rsid w:val="0E451587"/>
    <w:rsid w:val="104457BF"/>
    <w:rsid w:val="11455F43"/>
    <w:rsid w:val="13B331FD"/>
    <w:rsid w:val="153A5D6D"/>
    <w:rsid w:val="1A2069E9"/>
    <w:rsid w:val="23FA0E41"/>
    <w:rsid w:val="29D51AF2"/>
    <w:rsid w:val="2B5277B5"/>
    <w:rsid w:val="2BD338F8"/>
    <w:rsid w:val="327246E9"/>
    <w:rsid w:val="37057D10"/>
    <w:rsid w:val="3D0947F7"/>
    <w:rsid w:val="405E52C3"/>
    <w:rsid w:val="45D6758B"/>
    <w:rsid w:val="47D46405"/>
    <w:rsid w:val="4A9648C6"/>
    <w:rsid w:val="4ADE10B0"/>
    <w:rsid w:val="4F1E7EE9"/>
    <w:rsid w:val="5A6E2809"/>
    <w:rsid w:val="5BD50BFB"/>
    <w:rsid w:val="5E665F23"/>
    <w:rsid w:val="6028148C"/>
    <w:rsid w:val="60AA59DE"/>
    <w:rsid w:val="65AD29A6"/>
    <w:rsid w:val="66902D60"/>
    <w:rsid w:val="67CC121B"/>
    <w:rsid w:val="741F7EE1"/>
    <w:rsid w:val="762E4DD8"/>
    <w:rsid w:val="7BC816BF"/>
    <w:rsid w:val="7C864227"/>
    <w:rsid w:val="7EE6692F"/>
    <w:rsid w:val="7F7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703</Characters>
  <Lines>7</Lines>
  <Paragraphs>2</Paragraphs>
  <TotalTime>2</TotalTime>
  <ScaleCrop>false</ScaleCrop>
  <LinksUpToDate>false</LinksUpToDate>
  <CharactersWithSpaces>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2024-09-29T01:44:00Z</dcterms:created>
  <dc:creator>Administrator</dc:creator>
  <cp:lastModifiedBy>秋秋</cp:lastModifiedBy>
  <dcterms:modified xsi:type="dcterms:W3CDTF">2024-10-17T09:37:45Z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C9606058D57A420B94CA048AA7AF0A39_13</vt:lpwstr>
  </property>
</Properties>
</file>